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Lines="0" w:afterLines="0" w:line="560" w:lineRule="exact"/>
        <w:textAlignment w:val="auto"/>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eastAsia="zh-CN"/>
        </w:rPr>
        <w:t>中建规字【</w:t>
      </w:r>
      <w:r>
        <w:rPr>
          <w:rFonts w:hint="eastAsia" w:ascii="仿宋_GB2312" w:hAnsi="宋体" w:eastAsia="仿宋_GB2312" w:cs="仿宋_GB2312"/>
          <w:color w:val="auto"/>
          <w:sz w:val="32"/>
          <w:szCs w:val="32"/>
          <w:lang w:val="en-US" w:eastAsia="zh-CN"/>
        </w:rPr>
        <w:t>2020</w:t>
      </w:r>
      <w:r>
        <w:rPr>
          <w:rFonts w:hint="eastAsia" w:ascii="仿宋_GB2312" w:hAnsi="宋体" w:eastAsia="仿宋_GB2312" w:cs="仿宋_GB2312"/>
          <w:color w:val="auto"/>
          <w:sz w:val="32"/>
          <w:szCs w:val="32"/>
          <w:lang w:eastAsia="zh-CN"/>
        </w:rPr>
        <w:t>】</w:t>
      </w:r>
      <w:r>
        <w:rPr>
          <w:rFonts w:hint="eastAsia" w:ascii="仿宋_GB2312" w:hAnsi="宋体" w:eastAsia="仿宋_GB2312" w:cs="仿宋_GB2312"/>
          <w:color w:val="auto"/>
          <w:sz w:val="32"/>
          <w:szCs w:val="32"/>
          <w:lang w:val="en-US" w:eastAsia="zh-CN"/>
        </w:rPr>
        <w:t>1号</w:t>
      </w:r>
    </w:p>
    <w:p>
      <w:pPr>
        <w:spacing w:line="900" w:lineRule="exact"/>
        <w:ind w:firstLine="171" w:firstLineChars="26"/>
        <w:rPr>
          <w:rFonts w:hint="eastAsia" w:ascii="方正大标宋简体" w:hAnsi="新宋体" w:eastAsia="方正大标宋简体"/>
          <w:bCs/>
          <w:color w:val="FF0000"/>
          <w:spacing w:val="14"/>
          <w:w w:val="75"/>
          <w:sz w:val="84"/>
          <w:szCs w:val="84"/>
        </w:rPr>
      </w:pPr>
      <w:r>
        <w:rPr>
          <w:rFonts w:hint="eastAsia" w:ascii="方正大标宋简体" w:hAnsi="新宋体" w:eastAsia="方正大标宋简体"/>
          <w:bCs/>
          <w:color w:val="FF0000"/>
          <w:spacing w:val="14"/>
          <w:w w:val="75"/>
          <w:sz w:val="84"/>
          <w:szCs w:val="84"/>
        </w:rPr>
        <w:t>中山市住房和城乡建设局</w:t>
      </w:r>
      <w:r>
        <w:rPr>
          <w:rFonts w:hint="eastAsia" w:ascii="方正大标宋简体" w:hAnsi="新宋体" w:eastAsia="方正大标宋简体"/>
          <w:b/>
          <w:bCs/>
          <w:color w:val="FF0000"/>
          <w:spacing w:val="14"/>
          <w:w w:val="75"/>
          <w:sz w:val="80"/>
          <w:szCs w:val="80"/>
        </w:rPr>
        <w:t>文件</w:t>
      </w:r>
    </w:p>
    <w:p>
      <w:pPr>
        <w:jc w:val="center"/>
        <w:rPr>
          <w:rFonts w:hint="eastAsia" w:eastAsia="方正大标宋简体"/>
          <w:color w:val="FF0000"/>
          <w:spacing w:val="20"/>
          <w:sz w:val="32"/>
          <w:szCs w:val="32"/>
        </w:rPr>
      </w:pPr>
    </w:p>
    <w:p>
      <w:pPr>
        <w:jc w:val="center"/>
        <w:rPr>
          <w:rFonts w:hint="eastAsia" w:eastAsia="方正大标宋简体"/>
          <w:color w:val="FF0000"/>
          <w:spacing w:val="20"/>
          <w:sz w:val="32"/>
          <w:szCs w:val="32"/>
        </w:rPr>
      </w:pPr>
    </w:p>
    <w:p>
      <w:pPr>
        <w:spacing w:beforeLines="0" w:afterLines="0" w:line="560" w:lineRule="exact"/>
        <w:jc w:val="center"/>
        <w:rPr>
          <w:rFonts w:hint="eastAsia" w:ascii="楷体_GB2312" w:hAnsi="楷体_GB2312" w:eastAsia="楷体_GB2312" w:cs="楷体_GB2312"/>
          <w:sz w:val="32"/>
          <w:szCs w:val="32"/>
        </w:rPr>
      </w:pPr>
    </w:p>
    <w:p>
      <w:pPr>
        <w:spacing w:beforeLines="0" w:afterLines="0" w:line="560" w:lineRule="exact"/>
        <w:jc w:val="center"/>
        <w:rPr>
          <w:rFonts w:hint="eastAsia" w:eastAsia="方正大标宋简体"/>
          <w:color w:val="FF0000"/>
          <w:spacing w:val="20"/>
          <w:sz w:val="32"/>
          <w:szCs w:val="32"/>
        </w:rPr>
      </w:pPr>
      <w:r>
        <w:rPr>
          <w:rFonts w:hint="eastAsia" w:ascii="楷体_GB2312" w:hAnsi="楷体_GB2312" w:eastAsia="楷体_GB2312" w:cs="楷体_GB2312"/>
          <w:sz w:val="32"/>
          <w:szCs w:val="32"/>
        </w:rPr>
        <w:t>中建通〔20</w:t>
      </w:r>
      <w:r>
        <w:rPr>
          <w:rFonts w:hint="eastAsia" w:ascii="楷体_GB2312" w:hAnsi="楷体_GB2312" w:eastAsia="楷体_GB2312" w:cs="楷体_GB2312"/>
          <w:sz w:val="32"/>
          <w:szCs w:val="32"/>
          <w:lang w:val="en-US" w:eastAsia="zh-CN"/>
        </w:rPr>
        <w:t>20</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29</w:t>
      </w:r>
      <w:r>
        <w:rPr>
          <w:rFonts w:hint="eastAsia" w:ascii="楷体_GB2312" w:hAnsi="楷体_GB2312" w:eastAsia="楷体_GB2312" w:cs="楷体_GB2312"/>
          <w:sz w:val="32"/>
          <w:szCs w:val="32"/>
        </w:rPr>
        <w:t>号</w:t>
      </w:r>
    </w:p>
    <w:p>
      <w:pPr>
        <w:widowControl/>
        <w:wordWrap/>
        <w:adjustRightInd/>
        <w:snapToGrid/>
        <w:spacing w:line="560" w:lineRule="exact"/>
        <w:ind w:left="0" w:leftChars="0" w:right="0"/>
        <w:textAlignment w:val="auto"/>
        <w:outlineLvl w:val="9"/>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pacing w:val="20"/>
          <w:kern w:val="2"/>
          <w:sz w:val="32"/>
          <w:szCs w:val="32"/>
          <w:lang w:val="en-US" w:eastAsia="zh-CN" w:bidi="ar-SA"/>
        </w:rPr>
        <w:pict>
          <v:line id="直接连接符 1" o:spid="_x0000_s1027" style="position:absolute;left:0;margin-left:0pt;margin-top:0pt;height:0.05pt;width:441pt;rotation:0f;z-index:251658240;" o:ole="f" fillcolor="#FFFFFF" filled="f" o:preferrelative="t" stroked="t" coordsize="21600,21600">
            <v:fill on="f" color2="#FFFFFF" focus="0%"/>
            <v:stroke weight="6pt" color="#FF0000" color2="#FFFFFF" miterlimit="2"/>
            <v:imagedata gain="65536f" blacklevel="0f" gamma="0"/>
            <o:lock v:ext="edit" position="f" selection="f" grouping="f" rotation="f" cropping="f" text="f" aspectratio="f"/>
          </v:line>
        </w:pict>
      </w:r>
    </w:p>
    <w:p>
      <w:pPr>
        <w:spacing w:beforeLines="0" w:afterLines="0"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中山市住房和城乡建设局关于规范中山市</w:t>
      </w:r>
    </w:p>
    <w:p>
      <w:pPr>
        <w:spacing w:beforeLines="0" w:afterLines="0"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园林绿化工程项目施工招投标</w:t>
      </w:r>
    </w:p>
    <w:p>
      <w:pPr>
        <w:spacing w:beforeLines="0" w:afterLines="0" w:line="540" w:lineRule="exact"/>
        <w:jc w:val="center"/>
        <w:rPr>
          <w:rFonts w:ascii="黑体" w:hAnsi="黑体" w:eastAsia="黑体"/>
          <w:sz w:val="44"/>
          <w:szCs w:val="44"/>
        </w:rPr>
      </w:pPr>
      <w:r>
        <w:rPr>
          <w:rFonts w:hint="eastAsia" w:ascii="方正小标宋简体" w:hAnsi="方正小标宋简体" w:eastAsia="方正小标宋简体" w:cs="方正小标宋简体"/>
          <w:sz w:val="44"/>
          <w:szCs w:val="44"/>
        </w:rPr>
        <w:t>有关工作的通知</w:t>
      </w:r>
    </w:p>
    <w:p>
      <w:pPr>
        <w:spacing w:beforeLines="0" w:afterLines="0" w:line="540" w:lineRule="exact"/>
        <w:rPr>
          <w:rFonts w:ascii="仿宋_GB2312" w:hAnsi="宋体" w:eastAsia="仿宋_GB2312"/>
          <w:sz w:val="32"/>
          <w:szCs w:val="32"/>
        </w:rPr>
      </w:pPr>
    </w:p>
    <w:p>
      <w:pPr>
        <w:pStyle w:val="11"/>
        <w:spacing w:beforeLines="0" w:afterLines="0" w:line="54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各有关单位：</w:t>
      </w:r>
    </w:p>
    <w:p>
      <w:pPr>
        <w:pStyle w:val="11"/>
        <w:spacing w:beforeLines="0" w:afterLines="0"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rPr>
        <w:t>为贯彻落实《住房城乡建设部办公厅关于做好取消城市园林绿化企业资质核准行政许可事项相关工作的通知》（建办城〔2017〕27号）、《住房城乡建设部印发〈园林绿化工程建设管理规定〉的通知》（建城〔2017〕251号）等文件精神，因我局2019年1月23日印发的《关于规范中山市园林绿化工程项目施工招投标有关工作的通知》（中建通〔2019〕12号）已失效，为继续规范城市园林绿化企业资质取消后我市园林绿化工程项目招投标工作，根据招标人负责制和投标人承诺制原则，结合我市实际，</w:t>
      </w:r>
      <w:r>
        <w:rPr>
          <w:rFonts w:hint="eastAsia" w:ascii="仿宋_GB2312" w:hAnsi="仿宋_GB2312" w:eastAsia="仿宋_GB2312" w:cs="仿宋_GB2312"/>
          <w:sz w:val="32"/>
          <w:szCs w:val="32"/>
          <w:lang w:val="en-US" w:eastAsia="zh-CN"/>
        </w:rPr>
        <w:t>现将有关事项通知</w:t>
      </w:r>
      <w:r>
        <w:rPr>
          <w:rFonts w:hint="eastAsia" w:ascii="仿宋_GB2312" w:hAnsi="仿宋_GB2312" w:eastAsia="仿宋_GB2312" w:cs="仿宋_GB2312"/>
          <w:color w:val="000000"/>
          <w:sz w:val="32"/>
          <w:szCs w:val="32"/>
          <w:lang w:val="en-US"/>
        </w:rPr>
        <w:t>如下：</w:t>
      </w:r>
    </w:p>
    <w:p>
      <w:pPr>
        <w:pStyle w:val="11"/>
        <w:spacing w:beforeLines="0" w:afterLines="0" w:line="540" w:lineRule="exact"/>
        <w:ind w:firstLine="640"/>
        <w:rPr>
          <w:rFonts w:eastAsia="仿宋_GB2312"/>
          <w:b/>
          <w:sz w:val="32"/>
          <w:szCs w:val="32"/>
        </w:rPr>
      </w:pPr>
      <w:r>
        <w:rPr>
          <w:rFonts w:hint="eastAsia" w:ascii="黑体" w:hAnsi="黑体" w:eastAsia="黑体" w:cs="黑体"/>
          <w:b w:val="0"/>
          <w:bCs w:val="0"/>
          <w:sz w:val="32"/>
          <w:szCs w:val="32"/>
        </w:rPr>
        <w:t>一、园林绿化工程范围</w:t>
      </w:r>
    </w:p>
    <w:p>
      <w:pPr>
        <w:spacing w:beforeLines="0" w:afterLines="0" w:line="540" w:lineRule="exact"/>
        <w:ind w:firstLine="643" w:firstLineChars="20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住房城乡建设部印发&lt;园林绿化工程建设管理规定&gt;的通知》（建城〔2017〕251号）规定，园林绿化工程是指新建、改建、扩建公园绿地、防护绿地、广场用地、附属绿地、区域绿地，以及对城市生态和景观影响较大建设项目的配套绿化，主要包括园林绿化植物栽植、地形整理、园林设备安装、小品、花坛、园路、水系、驳岸、喷泉、假山、雕塑、绿地广场、建筑面积500平方米以下（含500平方米）或工程投资额在100万元以下（含100万元）的单体单层配套建筑、园林景观桥梁等施工。</w:t>
      </w:r>
      <w:r>
        <w:rPr>
          <w:rFonts w:hint="eastAsia" w:ascii="仿宋_GB2312" w:hAnsi="仿宋_GB2312" w:eastAsia="仿宋_GB2312" w:cs="仿宋_GB2312"/>
          <w:sz w:val="32"/>
          <w:szCs w:val="32"/>
          <w:lang w:eastAsia="zh-CN"/>
        </w:rPr>
        <w:t>上述工程</w:t>
      </w:r>
      <w:r>
        <w:rPr>
          <w:rFonts w:hint="eastAsia" w:ascii="仿宋_GB2312" w:hAnsi="仿宋_GB2312" w:eastAsia="仿宋_GB2312" w:cs="仿宋_GB2312"/>
          <w:sz w:val="32"/>
          <w:szCs w:val="32"/>
        </w:rPr>
        <w:t>依法必须进行招标</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适用本通知。</w:t>
      </w:r>
    </w:p>
    <w:p>
      <w:pPr>
        <w:pStyle w:val="11"/>
        <w:numPr>
          <w:numId w:val="0"/>
        </w:numPr>
        <w:spacing w:beforeLines="0" w:afterLines="0" w:line="54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合理设置投标人资格条件</w:t>
      </w:r>
    </w:p>
    <w:p>
      <w:pPr>
        <w:widowControl w:val="0"/>
        <w:wordWrap/>
        <w:adjustRightInd/>
        <w:snapToGrid/>
        <w:spacing w:line="540" w:lineRule="exact"/>
        <w:ind w:left="0" w:leftChars="0" w:right="0" w:firstLine="640" w:firstLineChars="200"/>
        <w:jc w:val="both"/>
        <w:textAlignment w:val="auto"/>
        <w:outlineLvl w:val="9"/>
        <w:rPr>
          <w:rFonts w:ascii="仿宋_GB2312" w:hAnsi="宋体" w:eastAsia="仿宋_GB2312"/>
          <w:sz w:val="32"/>
          <w:szCs w:val="32"/>
        </w:rPr>
      </w:pPr>
      <w:r>
        <w:rPr>
          <w:rFonts w:hint="eastAsia" w:ascii="楷体_GB2312" w:hAnsi="楷体_GB2312" w:eastAsia="楷体_GB2312" w:cs="楷体_GB2312"/>
          <w:sz w:val="32"/>
          <w:szCs w:val="32"/>
        </w:rPr>
        <w:t>（一）企业法人营业执照</w:t>
      </w:r>
    </w:p>
    <w:p>
      <w:pPr>
        <w:spacing w:beforeLines="0" w:afterLines="0"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招标人不得将城市园林绿化企业资质或市政公用工程施工总承包资质作为承包园林绿化工程施工业务的条件。招标人可设置具有独立法人资格，经营范围包含园林绿化工程</w:t>
      </w:r>
      <w:r>
        <w:rPr>
          <w:rFonts w:hint="eastAsia" w:eastAsia="仿宋_GB2312"/>
          <w:sz w:val="32"/>
          <w:szCs w:val="32"/>
        </w:rPr>
        <w:t>（含风景园林工程、景观绿地工程、绿化工程服务）</w:t>
      </w:r>
      <w:r>
        <w:rPr>
          <w:rFonts w:hint="eastAsia" w:ascii="仿宋_GB2312" w:hAnsi="宋体" w:eastAsia="仿宋_GB2312"/>
          <w:sz w:val="32"/>
          <w:szCs w:val="32"/>
        </w:rPr>
        <w:t>等相关业务的企业法人营业执照作为投标人合格条件。</w:t>
      </w:r>
    </w:p>
    <w:p>
      <w:pPr>
        <w:spacing w:beforeLines="0" w:afterLines="0"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投标人应依照国民经济行业分类标准，将园林绿化项目的规范表述登记为营业执照的经营范围，国民经济行业分类中没有载明的，可以参照政策文件、行业习惯或者专业文献等表述。</w:t>
      </w:r>
    </w:p>
    <w:p>
      <w:pPr>
        <w:spacing w:beforeLines="0" w:afterLines="0" w:line="540" w:lineRule="exact"/>
        <w:ind w:firstLine="640" w:firstLineChars="200"/>
        <w:rPr>
          <w:rFonts w:hint="eastAsia" w:ascii="楷体" w:hAnsi="楷体" w:eastAsia="楷体" w:cs="楷体"/>
          <w:sz w:val="32"/>
          <w:szCs w:val="32"/>
        </w:rPr>
      </w:pPr>
      <w:r>
        <w:rPr>
          <w:rFonts w:hint="eastAsia" w:ascii="楷体_GB2312" w:hAnsi="楷体_GB2312" w:eastAsia="楷体_GB2312" w:cs="楷体_GB2312"/>
          <w:sz w:val="32"/>
          <w:szCs w:val="32"/>
        </w:rPr>
        <w:t>（二）项目负责人</w:t>
      </w:r>
    </w:p>
    <w:p>
      <w:pPr>
        <w:spacing w:beforeLines="0" w:afterLines="0"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1.园林绿化工程施工实行项目负责人负责制，项目负责人应具备相应的现场管理工作经历和专业技术能力。招标人应要求项目负责人具有园林专业中级或以上专业技术职称，并要求投标人提供项目负责人自招标公告发布或投标邀请书发出之日前三个月的社保证明。</w:t>
      </w:r>
    </w:p>
    <w:p>
      <w:pPr>
        <w:spacing w:beforeLines="0" w:afterLines="0"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园林专业指园林（含园林规划设计、园林植物、风景园林、园林绿化等）、园艺、城市规划、景观、植物（含植保、森保等）、风景旅游、环境艺术等专业。</w:t>
      </w:r>
    </w:p>
    <w:p>
      <w:pPr>
        <w:spacing w:beforeLines="0" w:afterLines="0"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2.当园林绿化工程中含有建筑、园林景观桥梁、码头等建设内容时，项目负责人要求是市政公用专业注册建造师或市政公用专业小型项目负责人。</w:t>
      </w:r>
    </w:p>
    <w:p>
      <w:pPr>
        <w:spacing w:beforeLines="0" w:afterLines="0"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项目负责人承接项目的规模标准以及等级标准按《注册建造师执业管理办法（试行）》（建市〔2008〕48号）、《注册建造师执业工程规模标准（试行）》（建市〔2007〕171号）以及《关于加强我省小型工程项目施工管理及明确小型工程项目负责人任职条件的通知》（粤建市〔2010〕26号）执行。</w:t>
      </w:r>
    </w:p>
    <w:p>
      <w:pPr>
        <w:spacing w:beforeLines="0" w:afterLines="0"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（三）市场主体信用记录</w:t>
      </w:r>
    </w:p>
    <w:p>
      <w:pPr>
        <w:spacing w:beforeLines="0" w:afterLines="0"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投标人及其项目负责人应具有良好的园林绿化行业从业信用记录，须同时满足：</w:t>
      </w:r>
    </w:p>
    <w:p>
      <w:pPr>
        <w:spacing w:beforeLines="0" w:afterLines="0" w:line="540" w:lineRule="exact"/>
        <w:ind w:firstLine="640"/>
        <w:rPr>
          <w:rFonts w:ascii="仿宋_GB2312" w:hAnsi="宋体" w:eastAsia="仿宋_GB2312"/>
          <w:sz w:val="32"/>
          <w:szCs w:val="32"/>
        </w:rPr>
      </w:pPr>
      <w:r>
        <w:rPr>
          <w:rFonts w:hint="eastAsia" w:ascii="仿宋_GB2312" w:hAnsi="宋体" w:eastAsia="仿宋_GB2312"/>
          <w:sz w:val="32"/>
          <w:szCs w:val="32"/>
        </w:rPr>
        <w:t>1.未在信用中国网站被列为“失信被执行人”。</w:t>
      </w:r>
      <w:r>
        <w:rPr>
          <w:rFonts w:ascii="仿宋_GB2312" w:hAnsi="宋体" w:eastAsia="仿宋_GB2312"/>
          <w:sz w:val="32"/>
          <w:szCs w:val="32"/>
        </w:rPr>
        <w:t xml:space="preserve"> </w:t>
      </w:r>
    </w:p>
    <w:p>
      <w:pPr>
        <w:spacing w:beforeLines="0" w:afterLines="0" w:line="540" w:lineRule="exact"/>
        <w:ind w:firstLine="640"/>
        <w:rPr>
          <w:rFonts w:ascii="仿宋_GB2312" w:hAnsi="宋体" w:eastAsia="仿宋_GB2312"/>
          <w:color w:val="FF0000"/>
          <w:sz w:val="32"/>
          <w:szCs w:val="32"/>
        </w:rPr>
      </w:pPr>
      <w:r>
        <w:rPr>
          <w:rFonts w:hint="eastAsia" w:ascii="仿宋_GB2312" w:hAnsi="宋体" w:eastAsia="仿宋_GB2312"/>
          <w:sz w:val="32"/>
          <w:szCs w:val="32"/>
        </w:rPr>
        <w:t>2.符合国家、省、市有关联合惩戒的文件规定。</w:t>
      </w:r>
    </w:p>
    <w:p>
      <w:pPr>
        <w:spacing w:beforeLines="0" w:afterLines="0" w:line="540" w:lineRule="exact"/>
        <w:ind w:firstLine="64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（四）人员配置</w:t>
      </w:r>
    </w:p>
    <w:p>
      <w:pPr>
        <w:spacing w:beforeLines="0" w:afterLines="0" w:line="540" w:lineRule="exact"/>
        <w:ind w:firstLine="640"/>
        <w:rPr>
          <w:rFonts w:ascii="仿宋_GB2312" w:hAnsi="宋体" w:eastAsia="仿宋_GB2312"/>
          <w:sz w:val="32"/>
          <w:szCs w:val="32"/>
        </w:rPr>
      </w:pPr>
      <w:r>
        <w:rPr>
          <w:rFonts w:hint="eastAsia" w:ascii="仿宋_GB2312" w:hAnsi="宋体" w:eastAsia="仿宋_GB2312"/>
          <w:sz w:val="32"/>
          <w:szCs w:val="32"/>
        </w:rPr>
        <w:t>施工单位应当组建施工现场项目管理机构，根据招标文件约定配备相应的管理和技术等人员，相关人员应提供自招标公告发布或投标邀请书发出之日前三个月的社保证明，最低要求详见《技术管理人员配备表》。</w:t>
      </w:r>
    </w:p>
    <w:p>
      <w:pPr>
        <w:pStyle w:val="12"/>
        <w:numPr>
          <w:numId w:val="0"/>
        </w:numPr>
        <w:spacing w:beforeLines="0" w:afterLines="0" w:line="54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评标</w:t>
      </w:r>
    </w:p>
    <w:p>
      <w:pPr>
        <w:spacing w:beforeLines="0" w:afterLines="0" w:line="54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园林绿化工程项目按照《关于进一步加强中山市工程建设项目招标投标管理的通知》（中建通[2016]117号）有关施工项目的规定确定评标办法。</w:t>
      </w:r>
    </w:p>
    <w:p>
      <w:pPr>
        <w:spacing w:beforeLines="0" w:afterLines="0" w:line="54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资格审查委员会、评标委员会中园林专业专家人数不少于委员会专家人数的1/3。</w:t>
      </w:r>
    </w:p>
    <w:p>
      <w:pPr>
        <w:spacing w:beforeLines="0" w:afterLines="0" w:line="54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四、其它</w:t>
      </w:r>
    </w:p>
    <w:p>
      <w:pPr>
        <w:spacing w:beforeLines="0" w:afterLines="0" w:line="540" w:lineRule="exact"/>
        <w:ind w:firstLine="640" w:firstLineChars="200"/>
        <w:rPr>
          <w:rFonts w:eastAsia="仿宋_GB2312"/>
          <w:sz w:val="32"/>
          <w:szCs w:val="32"/>
        </w:rPr>
      </w:pPr>
      <w:r>
        <w:rPr>
          <w:rFonts w:hint="eastAsia" w:eastAsia="仿宋_GB2312"/>
          <w:sz w:val="32"/>
          <w:szCs w:val="32"/>
        </w:rPr>
        <w:t>（一）</w:t>
      </w:r>
      <w:r>
        <w:rPr>
          <w:rFonts w:hint="eastAsia" w:ascii="仿宋_GB2312" w:hAnsi="仿宋_GB2312" w:eastAsia="仿宋_GB2312" w:cs="仿宋_GB2312"/>
          <w:sz w:val="32"/>
          <w:szCs w:val="32"/>
        </w:rPr>
        <w:t>从2020年3月16日</w:t>
      </w:r>
      <w:r>
        <w:rPr>
          <w:rFonts w:eastAsia="仿宋_GB2312"/>
          <w:sz w:val="32"/>
          <w:szCs w:val="32"/>
        </w:rPr>
        <w:t>起在</w:t>
      </w:r>
      <w:r>
        <w:rPr>
          <w:rFonts w:hint="eastAsia" w:eastAsia="仿宋_GB2312"/>
          <w:sz w:val="32"/>
          <w:szCs w:val="32"/>
        </w:rPr>
        <w:t>中山市</w:t>
      </w:r>
      <w:r>
        <w:rPr>
          <w:rFonts w:eastAsia="仿宋_GB2312"/>
          <w:sz w:val="32"/>
          <w:szCs w:val="32"/>
        </w:rPr>
        <w:t>公共资源交易网发布招标公告</w:t>
      </w:r>
      <w:r>
        <w:rPr>
          <w:rFonts w:hint="eastAsia" w:eastAsia="仿宋_GB2312"/>
          <w:sz w:val="32"/>
          <w:szCs w:val="32"/>
        </w:rPr>
        <w:t>的</w:t>
      </w:r>
      <w:r>
        <w:rPr>
          <w:rFonts w:eastAsia="仿宋_GB2312"/>
          <w:sz w:val="32"/>
          <w:szCs w:val="32"/>
        </w:rPr>
        <w:t>依法必须进行招标的园林绿化工程按本通知要求实施</w:t>
      </w:r>
      <w:r>
        <w:rPr>
          <w:rFonts w:hint="eastAsia" w:eastAsia="仿宋_GB2312"/>
          <w:sz w:val="32"/>
          <w:szCs w:val="32"/>
        </w:rPr>
        <w:t>，并按有关规定在指定发布媒介和有关公共资源交易平台发布项目招标公告和公示信息</w:t>
      </w:r>
      <w:r>
        <w:rPr>
          <w:rFonts w:eastAsia="仿宋_GB2312"/>
          <w:sz w:val="32"/>
          <w:szCs w:val="32"/>
        </w:rPr>
        <w:t>。</w:t>
      </w:r>
    </w:p>
    <w:p>
      <w:pPr>
        <w:spacing w:beforeLines="0" w:afterLines="0" w:line="540" w:lineRule="exact"/>
        <w:ind w:firstLine="640" w:firstLineChars="200"/>
        <w:rPr>
          <w:rFonts w:eastAsia="仿宋_GB2312"/>
          <w:sz w:val="32"/>
          <w:szCs w:val="32"/>
        </w:rPr>
      </w:pPr>
      <w:r>
        <w:rPr>
          <w:rFonts w:hint="eastAsia" w:eastAsia="仿宋_GB2312"/>
          <w:sz w:val="32"/>
          <w:szCs w:val="32"/>
        </w:rPr>
        <w:t>（二）</w:t>
      </w:r>
      <w:r>
        <w:rPr>
          <w:rFonts w:eastAsia="仿宋_GB2312"/>
          <w:sz w:val="32"/>
          <w:szCs w:val="32"/>
        </w:rPr>
        <w:t>本通知</w:t>
      </w:r>
      <w:r>
        <w:rPr>
          <w:rFonts w:hint="eastAsia" w:eastAsia="仿宋_GB2312"/>
          <w:sz w:val="32"/>
          <w:szCs w:val="32"/>
        </w:rPr>
        <w:t>有效期五年，自印发之日起施行。</w:t>
      </w:r>
      <w:r>
        <w:rPr>
          <w:rFonts w:hint="eastAsia" w:ascii="仿宋_GB2312" w:eastAsia="仿宋_GB2312"/>
          <w:color w:val="000000"/>
          <w:sz w:val="32"/>
          <w:szCs w:val="32"/>
        </w:rPr>
        <w:t>被列入诚信监管体系的</w:t>
      </w:r>
      <w:r>
        <w:rPr>
          <w:rFonts w:eastAsia="仿宋_GB2312"/>
          <w:sz w:val="32"/>
          <w:szCs w:val="32"/>
        </w:rPr>
        <w:t>园林绿化行业企业</w:t>
      </w:r>
      <w:r>
        <w:rPr>
          <w:rFonts w:hint="eastAsia" w:eastAsia="仿宋_GB2312"/>
          <w:sz w:val="32"/>
          <w:szCs w:val="32"/>
        </w:rPr>
        <w:t>有不良行为的依照我市现行颁布实施的诚信记分标准进行处理</w:t>
      </w:r>
      <w:r>
        <w:rPr>
          <w:rFonts w:eastAsia="仿宋_GB2312"/>
          <w:sz w:val="32"/>
          <w:szCs w:val="32"/>
        </w:rPr>
        <w:t>。</w:t>
      </w:r>
    </w:p>
    <w:p>
      <w:pPr>
        <w:spacing w:beforeLines="0" w:afterLines="0" w:line="540" w:lineRule="exact"/>
        <w:ind w:firstLine="640" w:firstLineChars="200"/>
        <w:rPr>
          <w:rFonts w:eastAsia="仿宋_GB2312"/>
          <w:sz w:val="32"/>
          <w:szCs w:val="32"/>
        </w:rPr>
      </w:pPr>
      <w:r>
        <w:rPr>
          <w:rFonts w:hint="eastAsia" w:eastAsia="仿宋_GB2312"/>
          <w:sz w:val="32"/>
          <w:szCs w:val="32"/>
        </w:rPr>
        <w:t>（三）本通知以外的其他事宜按照国家、省、市现行规定执行。</w:t>
      </w:r>
    </w:p>
    <w:p>
      <w:pPr>
        <w:spacing w:beforeLines="0" w:afterLines="0" w:line="540" w:lineRule="exact"/>
        <w:ind w:firstLine="640" w:firstLineChars="200"/>
        <w:rPr>
          <w:rFonts w:eastAsia="仿宋_GB2312"/>
          <w:sz w:val="32"/>
          <w:szCs w:val="32"/>
        </w:rPr>
      </w:pPr>
      <w:r>
        <w:rPr>
          <w:rFonts w:hint="eastAsia" w:eastAsia="仿宋_GB2312"/>
          <w:sz w:val="32"/>
          <w:szCs w:val="32"/>
        </w:rPr>
        <w:t>（四）</w:t>
      </w:r>
      <w:r>
        <w:rPr>
          <w:rFonts w:eastAsia="仿宋_GB2312"/>
          <w:sz w:val="32"/>
          <w:szCs w:val="32"/>
        </w:rPr>
        <w:t>本通知最终解释权归</w:t>
      </w:r>
      <w:r>
        <w:rPr>
          <w:rFonts w:hint="eastAsia" w:eastAsia="仿宋_GB2312"/>
          <w:sz w:val="32"/>
          <w:szCs w:val="32"/>
        </w:rPr>
        <w:t>中山</w:t>
      </w:r>
      <w:r>
        <w:rPr>
          <w:rFonts w:eastAsia="仿宋_GB2312"/>
          <w:sz w:val="32"/>
          <w:szCs w:val="32"/>
        </w:rPr>
        <w:t>市住房和城乡建设局所有。</w:t>
      </w:r>
    </w:p>
    <w:p>
      <w:pPr>
        <w:spacing w:beforeLines="0" w:afterLines="0" w:line="540" w:lineRule="exact"/>
        <w:ind w:firstLine="640" w:firstLineChars="200"/>
        <w:rPr>
          <w:rFonts w:eastAsia="仿宋_GB2312"/>
          <w:sz w:val="32"/>
          <w:szCs w:val="32"/>
        </w:rPr>
      </w:pPr>
    </w:p>
    <w:p>
      <w:pPr>
        <w:spacing w:beforeLines="0" w:afterLines="0" w:line="540" w:lineRule="exact"/>
        <w:ind w:firstLine="640" w:firstLineChars="200"/>
        <w:rPr>
          <w:rFonts w:eastAsia="仿宋_GB2312"/>
          <w:sz w:val="32"/>
          <w:szCs w:val="32"/>
        </w:rPr>
      </w:pPr>
      <w:r>
        <w:rPr>
          <w:rFonts w:eastAsia="仿宋_GB2312"/>
          <w:sz w:val="32"/>
          <w:szCs w:val="32"/>
        </w:rPr>
        <w:t>附件：技术管理人员配备表</w:t>
      </w:r>
    </w:p>
    <w:p>
      <w:pPr>
        <w:spacing w:beforeLines="0" w:afterLines="0" w:line="540" w:lineRule="exact"/>
        <w:jc w:val="right"/>
        <w:rPr>
          <w:rFonts w:ascii="仿宋_GB2312" w:hAnsi="宋体" w:eastAsia="仿宋_GB2312"/>
          <w:sz w:val="32"/>
          <w:szCs w:val="32"/>
        </w:rPr>
      </w:pPr>
      <w:r>
        <w:rPr>
          <w:rFonts w:eastAsia="仿宋_GB2312"/>
          <w:sz w:val="32"/>
          <w:szCs w:val="32"/>
        </w:rPr>
        <w:t xml:space="preserve">                  </w:t>
      </w:r>
      <w:r>
        <w:rPr>
          <w:rFonts w:hint="eastAsia" w:ascii="仿宋_GB2312" w:hAnsi="宋体" w:eastAsia="仿宋_GB2312"/>
          <w:sz w:val="32"/>
          <w:szCs w:val="32"/>
        </w:rPr>
        <w:t>中山市住房和城乡建设局</w:t>
      </w:r>
    </w:p>
    <w:p>
      <w:pPr>
        <w:wordWrap w:val="0"/>
        <w:spacing w:beforeLines="0" w:afterLines="0" w:line="540" w:lineRule="exact"/>
        <w:ind w:firstLine="640" w:firstLineChars="200"/>
        <w:jc w:val="right"/>
        <w:rPr>
          <w:rFonts w:ascii="仿宋_GB2312" w:hAnsi="宋体" w:eastAsia="仿宋_GB2312"/>
          <w:sz w:val="32"/>
          <w:szCs w:val="32"/>
        </w:rPr>
      </w:pPr>
      <w:r>
        <w:rPr>
          <w:rFonts w:ascii="仿宋_GB2312" w:hAnsi="宋体" w:eastAsia="仿宋_GB2312"/>
          <w:sz w:val="32"/>
          <w:szCs w:val="32"/>
        </w:rPr>
        <w:t>2020年3月</w:t>
      </w:r>
      <w:r>
        <w:rPr>
          <w:rFonts w:hint="eastAsia" w:ascii="仿宋_GB2312" w:hAnsi="宋体" w:eastAsia="仿宋_GB2312"/>
          <w:sz w:val="32"/>
          <w:szCs w:val="32"/>
          <w:lang w:val="en-US" w:eastAsia="zh-CN"/>
        </w:rPr>
        <w:t>9</w:t>
      </w:r>
      <w:r>
        <w:rPr>
          <w:rFonts w:ascii="仿宋_GB2312" w:hAnsi="宋体" w:eastAsia="仿宋_GB2312"/>
          <w:sz w:val="32"/>
          <w:szCs w:val="32"/>
        </w:rPr>
        <w:t>日</w:t>
      </w:r>
    </w:p>
    <w:p>
      <w:pPr>
        <w:spacing w:line="540" w:lineRule="exact"/>
        <w:ind w:firstLine="0" w:firstLineChars="0"/>
        <w:rPr>
          <w:rFonts w:hint="eastAsia" w:ascii="仿宋_GB2312" w:hAnsi="华文仿宋" w:eastAsia="黑体" w:cs="仿宋_GB2312"/>
          <w:snapToGrid w:val="0"/>
          <w:color w:val="auto"/>
          <w:spacing w:val="6"/>
          <w:kern w:val="32"/>
          <w:sz w:val="32"/>
          <w:szCs w:val="32"/>
          <w:lang w:eastAsia="zh-CN"/>
        </w:rPr>
      </w:pPr>
      <w:r>
        <w:rPr>
          <w:rFonts w:hint="eastAsia" w:ascii="黑体" w:hAnsi="黑体" w:eastAsia="黑体" w:cs="黑体"/>
          <w:snapToGrid w:val="0"/>
          <w:color w:val="auto"/>
          <w:spacing w:val="6"/>
          <w:kern w:val="32"/>
          <w:sz w:val="32"/>
          <w:szCs w:val="32"/>
        </w:rPr>
        <w:t>公开方式：</w:t>
      </w:r>
      <w:r>
        <w:rPr>
          <w:rFonts w:hint="eastAsia" w:ascii="仿宋_GB2312" w:hAnsi="仿宋_GB2312" w:eastAsia="仿宋_GB2312" w:cs="仿宋_GB2312"/>
          <w:snapToGrid w:val="0"/>
          <w:color w:val="auto"/>
          <w:spacing w:val="6"/>
          <w:kern w:val="32"/>
          <w:sz w:val="32"/>
          <w:szCs w:val="32"/>
          <w:lang w:eastAsia="zh-CN"/>
        </w:rPr>
        <w:t>主动公开</w:t>
      </w:r>
    </w:p>
    <w:p>
      <w:pPr>
        <w:widowControl w:val="0"/>
        <w:numPr>
          <w:numId w:val="0"/>
        </w:numPr>
        <w:tabs>
          <w:tab w:val="left" w:pos="2701"/>
        </w:tabs>
        <w:wordWrap/>
        <w:overflowPunct w:val="0"/>
        <w:autoSpaceDE w:val="0"/>
        <w:autoSpaceDN w:val="0"/>
        <w:adjustRightInd w:val="0"/>
        <w:snapToGrid w:val="0"/>
        <w:spacing w:beforeLines="0" w:afterLines="0" w:line="540" w:lineRule="exact"/>
        <w:ind w:left="0" w:leftChars="0" w:right="-90"/>
        <w:textAlignment w:val="auto"/>
        <w:outlineLvl w:val="9"/>
        <w:rPr>
          <w:rFonts w:hint="eastAsia" w:ascii="仿宋_GB2312" w:hAnsi="仿宋_GB2312" w:eastAsia="仿宋_GB2312" w:cs="仿宋_GB2312"/>
          <w:sz w:val="32"/>
          <w:szCs w:val="32"/>
        </w:rPr>
      </w:pPr>
      <w:r>
        <w:rPr>
          <w:rFonts w:ascii="Calibri" w:hAnsi="Calibri" w:eastAsia="宋体" w:cs="黑体"/>
          <w:color w:val="auto"/>
          <w:kern w:val="2"/>
          <w:sz w:val="21"/>
          <w:szCs w:val="22"/>
          <w:lang w:val="en-US" w:eastAsia="zh-CN" w:bidi="ar-SA"/>
        </w:rPr>
        <w:pict>
          <v:line id="直接连接符 4" o:spid="_x0000_s1028" style="position:absolute;left:0;margin-left:0pt;margin-top:30pt;height:1.2pt;width:441pt;rotation:0f;z-index:251660288;"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ascii="Calibri" w:hAnsi="Calibri" w:eastAsia="宋体" w:cs="黑体"/>
          <w:color w:val="auto"/>
          <w:kern w:val="2"/>
          <w:sz w:val="21"/>
          <w:szCs w:val="22"/>
          <w:lang w:val="en-US" w:eastAsia="zh-CN" w:bidi="ar-SA"/>
        </w:rPr>
        <w:pict>
          <v:line id="直接连接符 5" o:spid="_x0000_s1029" style="position:absolute;left:0;margin-left:0pt;margin-top:5.4pt;height:1.2pt;width:441pt;rotation:0f;z-index:251659264;"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eastAsia" w:ascii="仿宋_GB2312" w:hAnsi="仿宋" w:eastAsia="仿宋_GB2312" w:cs="仿宋_GB2312"/>
          <w:snapToGrid w:val="0"/>
          <w:color w:val="auto"/>
          <w:kern w:val="32"/>
          <w:sz w:val="32"/>
          <w:szCs w:val="32"/>
        </w:rPr>
        <w:t>中山市住房和城乡建设局办公室</w:t>
      </w:r>
      <w:r>
        <w:rPr>
          <w:rFonts w:ascii="仿宋_GB2312" w:hAnsi="仿宋" w:eastAsia="仿宋_GB2312" w:cs="仿宋_GB2312"/>
          <w:snapToGrid w:val="0"/>
          <w:color w:val="auto"/>
          <w:kern w:val="32"/>
          <w:sz w:val="32"/>
          <w:szCs w:val="32"/>
        </w:rPr>
        <w:t xml:space="preserve">    </w:t>
      </w:r>
      <w:r>
        <w:rPr>
          <w:rFonts w:hint="eastAsia" w:ascii="仿宋_GB2312" w:hAnsi="仿宋" w:eastAsia="仿宋_GB2312" w:cs="仿宋_GB2312"/>
          <w:snapToGrid w:val="0"/>
          <w:color w:val="auto"/>
          <w:kern w:val="32"/>
          <w:sz w:val="32"/>
          <w:szCs w:val="32"/>
          <w:lang w:val="en-US" w:eastAsia="zh-CN"/>
        </w:rPr>
        <w:t xml:space="preserve"> </w:t>
      </w:r>
      <w:r>
        <w:rPr>
          <w:rFonts w:ascii="仿宋_GB2312" w:hAnsi="仿宋" w:eastAsia="仿宋_GB2312" w:cs="仿宋_GB2312"/>
          <w:snapToGrid w:val="0"/>
          <w:color w:val="auto"/>
          <w:kern w:val="32"/>
          <w:sz w:val="32"/>
          <w:szCs w:val="32"/>
        </w:rPr>
        <w:t xml:space="preserve">  </w:t>
      </w:r>
      <w:r>
        <w:rPr>
          <w:rFonts w:hint="eastAsia" w:ascii="仿宋_GB2312" w:hAnsi="仿宋" w:eastAsia="仿宋_GB2312" w:cs="仿宋_GB2312"/>
          <w:snapToGrid w:val="0"/>
          <w:color w:val="auto"/>
          <w:kern w:val="32"/>
          <w:sz w:val="32"/>
          <w:szCs w:val="32"/>
          <w:lang w:val="en-US" w:eastAsia="zh-CN"/>
        </w:rPr>
        <w:t xml:space="preserve"> </w:t>
      </w:r>
      <w:r>
        <w:rPr>
          <w:rFonts w:ascii="仿宋_GB2312" w:hAnsi="仿宋" w:eastAsia="仿宋_GB2312" w:cs="仿宋_GB2312"/>
          <w:snapToGrid w:val="0"/>
          <w:color w:val="auto"/>
          <w:kern w:val="32"/>
          <w:sz w:val="32"/>
          <w:szCs w:val="32"/>
        </w:rPr>
        <w:t xml:space="preserve"> 20</w:t>
      </w:r>
      <w:r>
        <w:rPr>
          <w:rFonts w:hint="eastAsia" w:ascii="仿宋_GB2312" w:hAnsi="仿宋" w:eastAsia="仿宋_GB2312" w:cs="仿宋_GB2312"/>
          <w:snapToGrid w:val="0"/>
          <w:color w:val="auto"/>
          <w:kern w:val="32"/>
          <w:sz w:val="32"/>
          <w:szCs w:val="32"/>
          <w:lang w:val="en-US" w:eastAsia="zh-CN"/>
        </w:rPr>
        <w:t>20</w:t>
      </w:r>
      <w:r>
        <w:rPr>
          <w:rFonts w:hint="eastAsia" w:ascii="仿宋_GB2312" w:hAnsi="仿宋" w:eastAsia="仿宋_GB2312" w:cs="仿宋_GB2312"/>
          <w:snapToGrid w:val="0"/>
          <w:color w:val="auto"/>
          <w:kern w:val="32"/>
          <w:sz w:val="32"/>
          <w:szCs w:val="32"/>
        </w:rPr>
        <w:t>年</w:t>
      </w:r>
      <w:r>
        <w:rPr>
          <w:rFonts w:hint="eastAsia" w:ascii="仿宋_GB2312" w:hAnsi="仿宋" w:eastAsia="仿宋_GB2312" w:cs="仿宋_GB2312"/>
          <w:snapToGrid w:val="0"/>
          <w:color w:val="auto"/>
          <w:kern w:val="32"/>
          <w:sz w:val="32"/>
          <w:szCs w:val="32"/>
          <w:lang w:val="en-US" w:eastAsia="zh-CN"/>
        </w:rPr>
        <w:t>3</w:t>
      </w:r>
      <w:r>
        <w:rPr>
          <w:rFonts w:hint="eastAsia" w:ascii="仿宋_GB2312" w:hAnsi="仿宋" w:eastAsia="仿宋_GB2312" w:cs="仿宋_GB2312"/>
          <w:snapToGrid w:val="0"/>
          <w:color w:val="auto"/>
          <w:kern w:val="32"/>
          <w:sz w:val="32"/>
          <w:szCs w:val="32"/>
        </w:rPr>
        <w:t>月</w:t>
      </w:r>
      <w:r>
        <w:rPr>
          <w:rFonts w:hint="eastAsia" w:ascii="仿宋_GB2312" w:hAnsi="仿宋" w:eastAsia="仿宋_GB2312" w:cs="仿宋_GB2312"/>
          <w:snapToGrid w:val="0"/>
          <w:color w:val="auto"/>
          <w:kern w:val="32"/>
          <w:sz w:val="32"/>
          <w:szCs w:val="32"/>
          <w:lang w:val="en-US" w:eastAsia="zh-CN"/>
        </w:rPr>
        <w:t>11</w:t>
      </w:r>
      <w:r>
        <w:rPr>
          <w:rFonts w:hint="eastAsia" w:ascii="仿宋_GB2312" w:hAnsi="仿宋" w:eastAsia="仿宋_GB2312" w:cs="仿宋_GB2312"/>
          <w:snapToGrid w:val="0"/>
          <w:color w:val="auto"/>
          <w:kern w:val="32"/>
          <w:sz w:val="32"/>
          <w:szCs w:val="32"/>
        </w:rPr>
        <w:t>日印发</w:t>
      </w:r>
    </w:p>
    <w:p>
      <w:pPr>
        <w:spacing w:beforeLines="0" w:afterLines="0" w:line="560" w:lineRule="exact"/>
        <w:ind w:firstLine="664" w:firstLineChars="200"/>
        <w:jc w:val="right"/>
        <w:rPr>
          <w:rFonts w:ascii="仿宋_GB2312" w:hAnsi="宋体" w:eastAsia="仿宋_GB2312"/>
          <w:sz w:val="32"/>
          <w:szCs w:val="32"/>
        </w:rPr>
      </w:pPr>
      <w:r>
        <w:rPr>
          <w:rFonts w:ascii="黑体" w:hAnsi="黑体" w:eastAsia="黑体" w:cs="黑体"/>
          <w:snapToGrid w:val="0"/>
          <w:spacing w:val="6"/>
          <w:kern w:val="32"/>
          <w:sz w:val="32"/>
          <w:szCs w:val="32"/>
        </w:rPr>
        <w:br w:type="page"/>
      </w:r>
    </w:p>
    <w:p>
      <w:pPr>
        <w:spacing w:line="560" w:lineRule="exact"/>
        <w:jc w:val="left"/>
        <w:rPr>
          <w:rFonts w:hint="eastAsia" w:ascii="仿宋" w:hAnsi="仿宋" w:eastAsia="仿宋" w:cs="仿宋"/>
          <w:sz w:val="32"/>
          <w:szCs w:val="32"/>
        </w:rPr>
      </w:pPr>
      <w:r>
        <w:rPr>
          <w:rFonts w:hint="eastAsia" w:ascii="仿宋" w:hAnsi="仿宋" w:eastAsia="仿宋" w:cs="仿宋"/>
          <w:sz w:val="32"/>
          <w:szCs w:val="32"/>
        </w:rPr>
        <w:t>附件</w:t>
      </w:r>
    </w:p>
    <w:p>
      <w:pPr>
        <w:spacing w:line="560" w:lineRule="exact"/>
        <w:jc w:val="left"/>
        <w:rPr>
          <w:rFonts w:eastAsia="黑体"/>
          <w:sz w:val="36"/>
          <w:szCs w:val="36"/>
        </w:rPr>
      </w:pPr>
      <w:bookmarkStart w:id="0" w:name="_GoBack"/>
      <w:r>
        <w:rPr>
          <w:rFonts w:eastAsia="黑体"/>
          <w:sz w:val="36"/>
          <w:szCs w:val="36"/>
        </w:rPr>
        <w:t>技术管理人员配备表</w:t>
      </w:r>
      <w:bookmarkEnd w:id="0"/>
    </w:p>
    <w:tbl>
      <w:tblPr>
        <w:tblStyle w:val="10"/>
        <w:tblW w:w="9570" w:type="dxa"/>
        <w:jc w:val="center"/>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72"/>
        <w:gridCol w:w="2410"/>
        <w:gridCol w:w="44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2672"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pPr>
              <w:widowControl/>
              <w:spacing w:line="520" w:lineRule="exact"/>
              <w:jc w:val="center"/>
              <w:rPr>
                <w:rFonts w:eastAsia="仿宋_GB2312"/>
                <w:kern w:val="0"/>
                <w:sz w:val="28"/>
                <w:szCs w:val="28"/>
              </w:rPr>
            </w:pPr>
            <w:r>
              <w:rPr>
                <w:rFonts w:eastAsia="仿宋_GB2312"/>
                <w:b/>
                <w:bCs/>
                <w:color w:val="000000"/>
                <w:kern w:val="0"/>
                <w:sz w:val="28"/>
                <w:szCs w:val="28"/>
              </w:rPr>
              <w:t>工程规模</w:t>
            </w:r>
          </w:p>
        </w:tc>
        <w:tc>
          <w:tcPr>
            <w:tcW w:w="2410"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pPr>
              <w:widowControl/>
              <w:spacing w:line="520" w:lineRule="exact"/>
              <w:jc w:val="center"/>
              <w:rPr>
                <w:rFonts w:eastAsia="仿宋_GB2312"/>
                <w:kern w:val="0"/>
                <w:sz w:val="28"/>
                <w:szCs w:val="28"/>
              </w:rPr>
            </w:pPr>
            <w:r>
              <w:rPr>
                <w:rFonts w:eastAsia="仿宋_GB2312"/>
                <w:b/>
                <w:bCs/>
                <w:color w:val="000000"/>
                <w:kern w:val="0"/>
                <w:sz w:val="28"/>
                <w:szCs w:val="28"/>
              </w:rPr>
              <w:t>人员数量（人）</w:t>
            </w:r>
          </w:p>
        </w:tc>
        <w:tc>
          <w:tcPr>
            <w:tcW w:w="4488"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pPr>
              <w:widowControl/>
              <w:spacing w:line="520" w:lineRule="exact"/>
              <w:jc w:val="center"/>
              <w:rPr>
                <w:rFonts w:eastAsia="仿宋_GB2312"/>
                <w:kern w:val="0"/>
                <w:sz w:val="28"/>
                <w:szCs w:val="28"/>
              </w:rPr>
            </w:pPr>
            <w:r>
              <w:rPr>
                <w:rFonts w:eastAsia="仿宋_GB2312"/>
                <w:b/>
                <w:bCs/>
                <w:color w:val="000000"/>
                <w:kern w:val="0"/>
                <w:sz w:val="28"/>
                <w:szCs w:val="28"/>
              </w:rPr>
              <w:t>岗位配备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jc w:val="center"/>
        </w:trPr>
        <w:tc>
          <w:tcPr>
            <w:tcW w:w="2672"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pPr>
              <w:widowControl/>
              <w:spacing w:line="520" w:lineRule="exact"/>
              <w:jc w:val="center"/>
              <w:rPr>
                <w:rFonts w:eastAsia="仿宋_GB2312"/>
                <w:kern w:val="0"/>
                <w:sz w:val="28"/>
                <w:szCs w:val="28"/>
              </w:rPr>
            </w:pPr>
            <w:r>
              <w:rPr>
                <w:rFonts w:eastAsia="仿宋_GB2312"/>
                <w:b/>
                <w:bCs/>
                <w:color w:val="000000"/>
                <w:kern w:val="0"/>
                <w:sz w:val="28"/>
                <w:szCs w:val="28"/>
              </w:rPr>
              <w:t>小型工程</w:t>
            </w:r>
          </w:p>
          <w:p>
            <w:pPr>
              <w:widowControl/>
              <w:spacing w:line="520" w:lineRule="exact"/>
              <w:jc w:val="center"/>
              <w:rPr>
                <w:rFonts w:eastAsia="仿宋_GB2312"/>
                <w:kern w:val="0"/>
                <w:sz w:val="28"/>
                <w:szCs w:val="28"/>
              </w:rPr>
            </w:pPr>
            <w:r>
              <w:rPr>
                <w:rFonts w:eastAsia="仿宋_GB2312"/>
                <w:color w:val="000000"/>
                <w:kern w:val="0"/>
                <w:sz w:val="28"/>
                <w:szCs w:val="28"/>
              </w:rPr>
              <w:t>（单项合同额≤500万元）</w:t>
            </w:r>
          </w:p>
        </w:tc>
        <w:tc>
          <w:tcPr>
            <w:tcW w:w="2410"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pPr>
              <w:widowControl/>
              <w:spacing w:line="520" w:lineRule="exact"/>
              <w:jc w:val="center"/>
              <w:rPr>
                <w:rFonts w:eastAsia="仿宋_GB2312"/>
                <w:kern w:val="0"/>
                <w:sz w:val="28"/>
                <w:szCs w:val="28"/>
              </w:rPr>
            </w:pPr>
            <w:r>
              <w:rPr>
                <w:rFonts w:eastAsia="仿宋_GB2312"/>
                <w:color w:val="000000"/>
                <w:kern w:val="0"/>
                <w:sz w:val="28"/>
                <w:szCs w:val="28"/>
              </w:rPr>
              <w:t>4</w:t>
            </w:r>
          </w:p>
        </w:tc>
        <w:tc>
          <w:tcPr>
            <w:tcW w:w="4488"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pPr>
              <w:widowControl/>
              <w:spacing w:line="520" w:lineRule="exact"/>
              <w:jc w:val="center"/>
              <w:rPr>
                <w:rFonts w:eastAsia="仿宋_GB2312"/>
                <w:kern w:val="0"/>
                <w:sz w:val="28"/>
                <w:szCs w:val="28"/>
              </w:rPr>
            </w:pPr>
            <w:r>
              <w:rPr>
                <w:rFonts w:eastAsia="仿宋_GB2312"/>
                <w:color w:val="000000"/>
                <w:kern w:val="0"/>
                <w:sz w:val="28"/>
                <w:szCs w:val="28"/>
              </w:rPr>
              <w:t>项目负责人（中级职称）1人、</w:t>
            </w:r>
          </w:p>
          <w:p>
            <w:pPr>
              <w:widowControl/>
              <w:spacing w:line="520" w:lineRule="exact"/>
              <w:jc w:val="center"/>
              <w:rPr>
                <w:rFonts w:eastAsia="仿宋_GB2312"/>
                <w:kern w:val="0"/>
                <w:sz w:val="28"/>
                <w:szCs w:val="28"/>
              </w:rPr>
            </w:pPr>
            <w:r>
              <w:rPr>
                <w:rFonts w:eastAsia="仿宋_GB2312"/>
                <w:color w:val="000000"/>
                <w:kern w:val="0"/>
                <w:sz w:val="28"/>
                <w:szCs w:val="28"/>
              </w:rPr>
              <w:t>安全员1人、</w:t>
            </w:r>
          </w:p>
          <w:p>
            <w:pPr>
              <w:widowControl/>
              <w:spacing w:line="520" w:lineRule="exact"/>
              <w:jc w:val="center"/>
              <w:rPr>
                <w:rFonts w:eastAsia="仿宋_GB2312"/>
                <w:kern w:val="0"/>
                <w:sz w:val="28"/>
                <w:szCs w:val="28"/>
              </w:rPr>
            </w:pPr>
            <w:r>
              <w:rPr>
                <w:rFonts w:eastAsia="仿宋_GB2312"/>
                <w:color w:val="000000"/>
                <w:kern w:val="0"/>
                <w:sz w:val="28"/>
                <w:szCs w:val="28"/>
              </w:rPr>
              <w:t>质量员1人、</w:t>
            </w:r>
          </w:p>
          <w:p>
            <w:pPr>
              <w:widowControl/>
              <w:spacing w:line="520" w:lineRule="exact"/>
              <w:jc w:val="center"/>
              <w:rPr>
                <w:rFonts w:eastAsia="仿宋_GB2312"/>
                <w:kern w:val="0"/>
                <w:sz w:val="28"/>
                <w:szCs w:val="28"/>
              </w:rPr>
            </w:pPr>
            <w:r>
              <w:rPr>
                <w:rFonts w:eastAsia="仿宋_GB2312"/>
                <w:color w:val="000000"/>
                <w:kern w:val="0"/>
                <w:sz w:val="28"/>
                <w:szCs w:val="28"/>
              </w:rPr>
              <w:t>材料员(取样员)1名。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20" w:hRule="atLeast"/>
          <w:tblCellSpacing w:w="0" w:type="dxa"/>
          <w:jc w:val="center"/>
        </w:trPr>
        <w:tc>
          <w:tcPr>
            <w:tcW w:w="2672"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pPr>
              <w:widowControl/>
              <w:spacing w:line="520" w:lineRule="exact"/>
              <w:jc w:val="center"/>
              <w:rPr>
                <w:rFonts w:eastAsia="仿宋_GB2312"/>
                <w:kern w:val="0"/>
                <w:sz w:val="28"/>
                <w:szCs w:val="28"/>
              </w:rPr>
            </w:pPr>
            <w:r>
              <w:rPr>
                <w:rFonts w:eastAsia="仿宋_GB2312"/>
                <w:b/>
                <w:bCs/>
                <w:color w:val="000000"/>
                <w:kern w:val="0"/>
                <w:sz w:val="28"/>
                <w:szCs w:val="28"/>
              </w:rPr>
              <w:t>中型工程</w:t>
            </w:r>
          </w:p>
          <w:p>
            <w:pPr>
              <w:widowControl/>
              <w:spacing w:line="520" w:lineRule="exact"/>
              <w:jc w:val="center"/>
              <w:rPr>
                <w:rFonts w:eastAsia="仿宋_GB2312"/>
                <w:kern w:val="0"/>
                <w:sz w:val="28"/>
                <w:szCs w:val="28"/>
              </w:rPr>
            </w:pPr>
            <w:r>
              <w:rPr>
                <w:rFonts w:eastAsia="仿宋_GB2312"/>
                <w:color w:val="000000"/>
                <w:kern w:val="0"/>
                <w:sz w:val="28"/>
                <w:szCs w:val="28"/>
              </w:rPr>
              <w:t>（500&lt;单项合同额&lt;1200万元）</w:t>
            </w:r>
          </w:p>
        </w:tc>
        <w:tc>
          <w:tcPr>
            <w:tcW w:w="2410"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pPr>
              <w:widowControl/>
              <w:spacing w:line="520" w:lineRule="exact"/>
              <w:jc w:val="center"/>
              <w:rPr>
                <w:rFonts w:eastAsia="仿宋_GB2312"/>
                <w:kern w:val="0"/>
                <w:sz w:val="28"/>
                <w:szCs w:val="28"/>
              </w:rPr>
            </w:pPr>
            <w:r>
              <w:rPr>
                <w:rFonts w:eastAsia="仿宋_GB2312"/>
                <w:color w:val="000000"/>
                <w:kern w:val="0"/>
                <w:sz w:val="28"/>
                <w:szCs w:val="28"/>
              </w:rPr>
              <w:t>6</w:t>
            </w:r>
          </w:p>
        </w:tc>
        <w:tc>
          <w:tcPr>
            <w:tcW w:w="4488"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pPr>
              <w:widowControl/>
              <w:spacing w:line="520" w:lineRule="exact"/>
              <w:jc w:val="center"/>
              <w:rPr>
                <w:rFonts w:eastAsia="仿宋_GB2312"/>
                <w:kern w:val="0"/>
                <w:sz w:val="28"/>
                <w:szCs w:val="28"/>
              </w:rPr>
            </w:pPr>
            <w:r>
              <w:rPr>
                <w:rFonts w:eastAsia="仿宋_GB2312"/>
                <w:color w:val="000000"/>
                <w:kern w:val="0"/>
                <w:sz w:val="28"/>
                <w:szCs w:val="28"/>
              </w:rPr>
              <w:t>项目负责人（中级职称）1人、</w:t>
            </w:r>
          </w:p>
          <w:p>
            <w:pPr>
              <w:widowControl/>
              <w:spacing w:line="520" w:lineRule="exact"/>
              <w:jc w:val="center"/>
              <w:rPr>
                <w:rFonts w:eastAsia="仿宋_GB2312"/>
                <w:kern w:val="0"/>
                <w:sz w:val="28"/>
                <w:szCs w:val="28"/>
              </w:rPr>
            </w:pPr>
            <w:r>
              <w:rPr>
                <w:rFonts w:eastAsia="仿宋_GB2312"/>
                <w:color w:val="000000"/>
                <w:kern w:val="0"/>
                <w:sz w:val="28"/>
                <w:szCs w:val="28"/>
              </w:rPr>
              <w:t>技术负责人（中级职称）1人、</w:t>
            </w:r>
          </w:p>
          <w:p>
            <w:pPr>
              <w:widowControl/>
              <w:spacing w:line="520" w:lineRule="exact"/>
              <w:jc w:val="center"/>
              <w:rPr>
                <w:rFonts w:eastAsia="仿宋_GB2312"/>
                <w:kern w:val="0"/>
                <w:sz w:val="28"/>
                <w:szCs w:val="28"/>
              </w:rPr>
            </w:pPr>
            <w:r>
              <w:rPr>
                <w:rFonts w:eastAsia="仿宋_GB2312"/>
                <w:color w:val="000000"/>
                <w:kern w:val="0"/>
                <w:sz w:val="28"/>
                <w:szCs w:val="28"/>
              </w:rPr>
              <w:t>安全员1人、</w:t>
            </w:r>
          </w:p>
          <w:p>
            <w:pPr>
              <w:widowControl/>
              <w:spacing w:line="520" w:lineRule="exact"/>
              <w:jc w:val="center"/>
              <w:rPr>
                <w:rFonts w:eastAsia="仿宋_GB2312"/>
                <w:kern w:val="0"/>
                <w:sz w:val="28"/>
                <w:szCs w:val="28"/>
              </w:rPr>
            </w:pPr>
            <w:r>
              <w:rPr>
                <w:rFonts w:eastAsia="仿宋_GB2312"/>
                <w:color w:val="000000"/>
                <w:kern w:val="0"/>
                <w:sz w:val="28"/>
                <w:szCs w:val="28"/>
              </w:rPr>
              <w:t>质量员1人、</w:t>
            </w:r>
          </w:p>
          <w:p>
            <w:pPr>
              <w:widowControl/>
              <w:spacing w:line="520" w:lineRule="exact"/>
              <w:jc w:val="center"/>
              <w:rPr>
                <w:rFonts w:eastAsia="仿宋_GB2312"/>
                <w:kern w:val="0"/>
                <w:sz w:val="28"/>
                <w:szCs w:val="28"/>
              </w:rPr>
            </w:pPr>
            <w:r>
              <w:rPr>
                <w:rFonts w:eastAsia="仿宋_GB2312"/>
                <w:color w:val="000000"/>
                <w:kern w:val="0"/>
                <w:sz w:val="28"/>
                <w:szCs w:val="28"/>
              </w:rPr>
              <w:t>资料员1人</w:t>
            </w:r>
            <w:r>
              <w:rPr>
                <w:rFonts w:hint="eastAsia" w:eastAsia="仿宋_GB2312"/>
                <w:color w:val="000000"/>
                <w:kern w:val="0"/>
                <w:sz w:val="28"/>
                <w:szCs w:val="28"/>
              </w:rPr>
              <w:t>、</w:t>
            </w:r>
          </w:p>
          <w:p>
            <w:pPr>
              <w:widowControl/>
              <w:spacing w:line="520" w:lineRule="exact"/>
              <w:jc w:val="center"/>
              <w:rPr>
                <w:rFonts w:eastAsia="仿宋_GB2312"/>
                <w:kern w:val="0"/>
                <w:sz w:val="28"/>
                <w:szCs w:val="28"/>
              </w:rPr>
            </w:pPr>
            <w:r>
              <w:rPr>
                <w:rFonts w:eastAsia="仿宋_GB2312"/>
                <w:color w:val="000000"/>
                <w:kern w:val="0"/>
                <w:sz w:val="28"/>
                <w:szCs w:val="28"/>
              </w:rPr>
              <w:t>材料员(取样员)1人。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2672"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pPr>
              <w:widowControl/>
              <w:spacing w:line="520" w:lineRule="exact"/>
              <w:jc w:val="center"/>
              <w:rPr>
                <w:rFonts w:eastAsia="仿宋_GB2312"/>
                <w:kern w:val="0"/>
                <w:sz w:val="28"/>
                <w:szCs w:val="28"/>
              </w:rPr>
            </w:pPr>
            <w:r>
              <w:rPr>
                <w:rFonts w:eastAsia="仿宋_GB2312"/>
                <w:b/>
                <w:bCs/>
                <w:color w:val="000000"/>
                <w:kern w:val="0"/>
                <w:sz w:val="28"/>
                <w:szCs w:val="28"/>
              </w:rPr>
              <w:t>大型工程</w:t>
            </w:r>
          </w:p>
          <w:p>
            <w:pPr>
              <w:widowControl/>
              <w:spacing w:line="520" w:lineRule="exact"/>
              <w:jc w:val="center"/>
              <w:rPr>
                <w:rFonts w:eastAsia="仿宋_GB2312"/>
                <w:kern w:val="0"/>
                <w:sz w:val="28"/>
                <w:szCs w:val="28"/>
              </w:rPr>
            </w:pPr>
            <w:r>
              <w:rPr>
                <w:rFonts w:eastAsia="仿宋_GB2312"/>
                <w:color w:val="000000"/>
                <w:kern w:val="0"/>
                <w:sz w:val="28"/>
                <w:szCs w:val="28"/>
              </w:rPr>
              <w:t>（单项合同额≥1200万元）</w:t>
            </w:r>
          </w:p>
        </w:tc>
        <w:tc>
          <w:tcPr>
            <w:tcW w:w="2410"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pPr>
              <w:widowControl/>
              <w:spacing w:line="520" w:lineRule="exact"/>
              <w:jc w:val="center"/>
              <w:rPr>
                <w:rFonts w:eastAsia="仿宋_GB2312"/>
                <w:kern w:val="0"/>
                <w:sz w:val="28"/>
                <w:szCs w:val="28"/>
              </w:rPr>
            </w:pPr>
            <w:r>
              <w:rPr>
                <w:rFonts w:eastAsia="仿宋_GB2312"/>
                <w:color w:val="000000"/>
                <w:kern w:val="0"/>
                <w:sz w:val="28"/>
                <w:szCs w:val="28"/>
              </w:rPr>
              <w:t>8</w:t>
            </w:r>
          </w:p>
        </w:tc>
        <w:tc>
          <w:tcPr>
            <w:tcW w:w="4488" w:type="dxa"/>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pPr>
              <w:widowControl/>
              <w:spacing w:line="520" w:lineRule="exact"/>
              <w:jc w:val="center"/>
              <w:rPr>
                <w:rFonts w:eastAsia="仿宋_GB2312"/>
                <w:kern w:val="0"/>
                <w:sz w:val="28"/>
                <w:szCs w:val="28"/>
              </w:rPr>
            </w:pPr>
            <w:r>
              <w:rPr>
                <w:rFonts w:eastAsia="仿宋_GB2312"/>
                <w:color w:val="000000"/>
                <w:kern w:val="0"/>
                <w:sz w:val="28"/>
                <w:szCs w:val="28"/>
              </w:rPr>
              <w:t>项目负责人（</w:t>
            </w:r>
            <w:r>
              <w:rPr>
                <w:rFonts w:hint="eastAsia" w:eastAsia="仿宋_GB2312"/>
                <w:color w:val="000000"/>
                <w:kern w:val="0"/>
                <w:sz w:val="28"/>
                <w:szCs w:val="28"/>
              </w:rPr>
              <w:t>高</w:t>
            </w:r>
            <w:r>
              <w:rPr>
                <w:rFonts w:eastAsia="仿宋_GB2312"/>
                <w:color w:val="000000"/>
                <w:kern w:val="0"/>
                <w:sz w:val="28"/>
                <w:szCs w:val="28"/>
              </w:rPr>
              <w:t>级职称）1人、</w:t>
            </w:r>
          </w:p>
          <w:p>
            <w:pPr>
              <w:widowControl/>
              <w:spacing w:line="520" w:lineRule="exact"/>
              <w:jc w:val="center"/>
              <w:rPr>
                <w:rFonts w:eastAsia="仿宋_GB2312"/>
                <w:kern w:val="0"/>
                <w:sz w:val="28"/>
                <w:szCs w:val="28"/>
              </w:rPr>
            </w:pPr>
            <w:r>
              <w:rPr>
                <w:rFonts w:eastAsia="仿宋_GB2312"/>
                <w:color w:val="000000"/>
                <w:kern w:val="0"/>
                <w:sz w:val="28"/>
                <w:szCs w:val="28"/>
              </w:rPr>
              <w:t>技术负责人（高级职称）1人、</w:t>
            </w:r>
          </w:p>
          <w:p>
            <w:pPr>
              <w:widowControl/>
              <w:spacing w:line="520" w:lineRule="exact"/>
              <w:jc w:val="center"/>
              <w:rPr>
                <w:rFonts w:eastAsia="仿宋_GB2312"/>
                <w:kern w:val="0"/>
                <w:sz w:val="28"/>
                <w:szCs w:val="28"/>
              </w:rPr>
            </w:pPr>
            <w:r>
              <w:rPr>
                <w:rFonts w:eastAsia="仿宋_GB2312"/>
                <w:color w:val="000000"/>
                <w:kern w:val="0"/>
                <w:sz w:val="28"/>
                <w:szCs w:val="28"/>
              </w:rPr>
              <w:t>施工员1人、</w:t>
            </w:r>
          </w:p>
          <w:p>
            <w:pPr>
              <w:widowControl/>
              <w:spacing w:line="520" w:lineRule="exact"/>
              <w:jc w:val="center"/>
              <w:rPr>
                <w:rFonts w:eastAsia="仿宋_GB2312"/>
                <w:kern w:val="0"/>
                <w:sz w:val="28"/>
                <w:szCs w:val="28"/>
              </w:rPr>
            </w:pPr>
            <w:r>
              <w:rPr>
                <w:rFonts w:eastAsia="仿宋_GB2312"/>
                <w:color w:val="000000"/>
                <w:kern w:val="0"/>
                <w:sz w:val="28"/>
                <w:szCs w:val="28"/>
              </w:rPr>
              <w:t>安全员2人、</w:t>
            </w:r>
          </w:p>
          <w:p>
            <w:pPr>
              <w:widowControl/>
              <w:spacing w:line="520" w:lineRule="exact"/>
              <w:jc w:val="center"/>
              <w:rPr>
                <w:rFonts w:eastAsia="仿宋_GB2312"/>
                <w:kern w:val="0"/>
                <w:sz w:val="28"/>
                <w:szCs w:val="28"/>
              </w:rPr>
            </w:pPr>
            <w:r>
              <w:rPr>
                <w:rFonts w:eastAsia="仿宋_GB2312"/>
                <w:color w:val="000000"/>
                <w:kern w:val="0"/>
                <w:sz w:val="28"/>
                <w:szCs w:val="28"/>
              </w:rPr>
              <w:t>质量员1人、</w:t>
            </w:r>
          </w:p>
          <w:p>
            <w:pPr>
              <w:widowControl/>
              <w:spacing w:line="520" w:lineRule="exact"/>
              <w:jc w:val="center"/>
              <w:rPr>
                <w:rFonts w:eastAsia="仿宋_GB2312"/>
                <w:kern w:val="0"/>
                <w:sz w:val="28"/>
                <w:szCs w:val="28"/>
              </w:rPr>
            </w:pPr>
            <w:r>
              <w:rPr>
                <w:rFonts w:eastAsia="仿宋_GB2312"/>
                <w:color w:val="000000"/>
                <w:kern w:val="0"/>
                <w:sz w:val="28"/>
                <w:szCs w:val="28"/>
              </w:rPr>
              <w:t>资料员1人</w:t>
            </w:r>
            <w:r>
              <w:rPr>
                <w:rFonts w:hint="eastAsia" w:eastAsia="仿宋_GB2312"/>
                <w:color w:val="000000"/>
                <w:kern w:val="0"/>
                <w:sz w:val="28"/>
                <w:szCs w:val="28"/>
              </w:rPr>
              <w:t>、</w:t>
            </w:r>
          </w:p>
          <w:p>
            <w:pPr>
              <w:widowControl/>
              <w:spacing w:line="520" w:lineRule="exact"/>
              <w:jc w:val="center"/>
              <w:rPr>
                <w:rFonts w:eastAsia="仿宋_GB2312"/>
                <w:kern w:val="0"/>
                <w:sz w:val="28"/>
                <w:szCs w:val="28"/>
              </w:rPr>
            </w:pPr>
            <w:r>
              <w:rPr>
                <w:rFonts w:eastAsia="仿宋_GB2312"/>
                <w:color w:val="000000"/>
                <w:kern w:val="0"/>
                <w:sz w:val="28"/>
                <w:szCs w:val="28"/>
              </w:rPr>
              <w:t>材料员(取样员)1人。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CellSpacing w:w="0" w:type="dxa"/>
          <w:jc w:val="center"/>
        </w:trPr>
        <w:tc>
          <w:tcPr>
            <w:tcW w:w="9570" w:type="dxa"/>
            <w:gridSpan w:val="3"/>
            <w:tcBorders>
              <w:top w:val="single" w:color="333333" w:sz="6" w:space="0"/>
              <w:left w:val="single" w:color="333333" w:sz="6" w:space="0"/>
              <w:bottom w:val="single" w:color="333333" w:sz="6" w:space="0"/>
              <w:right w:val="single" w:color="333333" w:sz="6" w:space="0"/>
            </w:tcBorders>
            <w:tcMar>
              <w:top w:w="0" w:type="dxa"/>
              <w:left w:w="105" w:type="dxa"/>
              <w:bottom w:w="0" w:type="dxa"/>
              <w:right w:w="105" w:type="dxa"/>
            </w:tcMar>
            <w:vAlign w:val="center"/>
          </w:tcPr>
          <w:p>
            <w:pPr>
              <w:widowControl/>
              <w:snapToGrid w:val="0"/>
              <w:spacing w:line="520" w:lineRule="exact"/>
              <w:rPr>
                <w:rFonts w:eastAsia="仿宋_GB2312"/>
                <w:color w:val="000000"/>
                <w:kern w:val="0"/>
                <w:sz w:val="28"/>
                <w:szCs w:val="28"/>
              </w:rPr>
            </w:pPr>
            <w:r>
              <w:rPr>
                <w:rFonts w:eastAsia="仿宋_GB2312"/>
                <w:color w:val="000000"/>
                <w:kern w:val="0"/>
                <w:sz w:val="28"/>
                <w:szCs w:val="28"/>
              </w:rPr>
              <w:t>备注：1、本人员数量和岗位配备为最低标准。</w:t>
            </w:r>
          </w:p>
          <w:p>
            <w:pPr>
              <w:widowControl/>
              <w:snapToGrid w:val="0"/>
              <w:spacing w:line="520" w:lineRule="exact"/>
              <w:ind w:firstLine="840" w:firstLineChars="300"/>
              <w:rPr>
                <w:rFonts w:eastAsia="仿宋_GB2312"/>
                <w:color w:val="000000"/>
                <w:kern w:val="0"/>
                <w:sz w:val="28"/>
                <w:szCs w:val="28"/>
              </w:rPr>
            </w:pPr>
            <w:r>
              <w:rPr>
                <w:rFonts w:eastAsia="仿宋_GB2312"/>
                <w:color w:val="000000"/>
                <w:kern w:val="0"/>
                <w:sz w:val="28"/>
                <w:szCs w:val="28"/>
              </w:rPr>
              <w:t>2、对于施工技术复杂的工程，在以上配备的基础上适当增加技术管理</w:t>
            </w:r>
          </w:p>
          <w:p>
            <w:pPr>
              <w:widowControl/>
              <w:snapToGrid w:val="0"/>
              <w:spacing w:line="520" w:lineRule="exact"/>
              <w:ind w:firstLine="840" w:firstLineChars="300"/>
              <w:rPr>
                <w:rFonts w:eastAsia="仿宋_GB2312"/>
                <w:kern w:val="0"/>
                <w:sz w:val="28"/>
                <w:szCs w:val="28"/>
              </w:rPr>
            </w:pPr>
            <w:r>
              <w:rPr>
                <w:rFonts w:eastAsia="仿宋_GB2312"/>
                <w:color w:val="000000"/>
                <w:kern w:val="0"/>
                <w:sz w:val="28"/>
                <w:szCs w:val="28"/>
              </w:rPr>
              <w:t xml:space="preserve">   人员、施工员等人数。</w:t>
            </w:r>
          </w:p>
        </w:tc>
      </w:tr>
    </w:tbl>
    <w:p>
      <w:pPr>
        <w:spacing w:line="560" w:lineRule="exact"/>
        <w:rPr>
          <w:rFonts w:ascii="仿宋_GB2312" w:hAnsi="宋体" w:eastAsia="仿宋_GB2312"/>
          <w:sz w:val="11"/>
          <w:szCs w:val="32"/>
        </w:rPr>
      </w:pPr>
    </w:p>
    <w:sectPr>
      <w:footerReference r:id="rId4" w:type="default"/>
      <w:pgSz w:w="11850" w:h="16783"/>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Calibri" w:hAnsi="Calibri" w:eastAsia="宋体" w:cs="黑体"/>
        <w:kern w:val="2"/>
        <w:sz w:val="18"/>
        <w:szCs w:val="18"/>
        <w:lang w:val="en-US" w:eastAsia="zh-CN" w:bidi="ar-SA"/>
      </w:rPr>
      <w:pict>
        <v:rect id="文本框 3"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sz w:val="18"/>
                  </w:rPr>
                  <w:instrText xml:space="preserve"> PAGE  \* MERGEFORMAT </w:instrText>
                </w:r>
                <w:r>
                  <w:rPr>
                    <w:rFonts w:hint="eastAsia"/>
                    <w:sz w:val="18"/>
                  </w:rPr>
                  <w:fldChar w:fldCharType="separate"/>
                </w:r>
                <w:r>
                  <w:rPr>
                    <w:sz w:val="18"/>
                  </w:rPr>
                  <w:t>- 5 -</w:t>
                </w:r>
                <w:r>
                  <w:rPr>
                    <w:rFonts w:hint="eastAsia"/>
                    <w:sz w:val="18"/>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41D6D"/>
    <w:rsid w:val="0004280E"/>
    <w:rsid w:val="001E5113"/>
    <w:rsid w:val="00202A65"/>
    <w:rsid w:val="002152F2"/>
    <w:rsid w:val="002C21B6"/>
    <w:rsid w:val="002D0DB7"/>
    <w:rsid w:val="00340D09"/>
    <w:rsid w:val="003E4EEF"/>
    <w:rsid w:val="003F447B"/>
    <w:rsid w:val="00435FB5"/>
    <w:rsid w:val="004504FA"/>
    <w:rsid w:val="004846A6"/>
    <w:rsid w:val="004C2789"/>
    <w:rsid w:val="004C6AF0"/>
    <w:rsid w:val="004F2109"/>
    <w:rsid w:val="00500E3F"/>
    <w:rsid w:val="00554CB8"/>
    <w:rsid w:val="00561577"/>
    <w:rsid w:val="006229C2"/>
    <w:rsid w:val="006668B0"/>
    <w:rsid w:val="006D22CE"/>
    <w:rsid w:val="00721A3E"/>
    <w:rsid w:val="00736F14"/>
    <w:rsid w:val="00746804"/>
    <w:rsid w:val="00755E5B"/>
    <w:rsid w:val="00775EF2"/>
    <w:rsid w:val="007B510D"/>
    <w:rsid w:val="007D3D3C"/>
    <w:rsid w:val="007E7096"/>
    <w:rsid w:val="00800347"/>
    <w:rsid w:val="00805940"/>
    <w:rsid w:val="00811B87"/>
    <w:rsid w:val="00860DA4"/>
    <w:rsid w:val="00882CA7"/>
    <w:rsid w:val="00895488"/>
    <w:rsid w:val="008A54F3"/>
    <w:rsid w:val="008A79B9"/>
    <w:rsid w:val="008D0881"/>
    <w:rsid w:val="008F348A"/>
    <w:rsid w:val="00925EB8"/>
    <w:rsid w:val="00951F8F"/>
    <w:rsid w:val="00965014"/>
    <w:rsid w:val="00996308"/>
    <w:rsid w:val="009F1E74"/>
    <w:rsid w:val="00A0312C"/>
    <w:rsid w:val="00A041DE"/>
    <w:rsid w:val="00A10F3B"/>
    <w:rsid w:val="00A154C6"/>
    <w:rsid w:val="00A6185D"/>
    <w:rsid w:val="00AB7C00"/>
    <w:rsid w:val="00B4297F"/>
    <w:rsid w:val="00B4708B"/>
    <w:rsid w:val="00BC75C3"/>
    <w:rsid w:val="00BE4574"/>
    <w:rsid w:val="00C305F7"/>
    <w:rsid w:val="00CA676E"/>
    <w:rsid w:val="00CC70F6"/>
    <w:rsid w:val="00CC7A0E"/>
    <w:rsid w:val="00D22C4A"/>
    <w:rsid w:val="00D474D5"/>
    <w:rsid w:val="00D857D5"/>
    <w:rsid w:val="00DA5108"/>
    <w:rsid w:val="00DD1BAB"/>
    <w:rsid w:val="00E44C55"/>
    <w:rsid w:val="00E5627D"/>
    <w:rsid w:val="00EB459C"/>
    <w:rsid w:val="00EC13E5"/>
    <w:rsid w:val="00F47A08"/>
    <w:rsid w:val="00F70E6A"/>
    <w:rsid w:val="00FF435C"/>
    <w:rsid w:val="05C33543"/>
    <w:rsid w:val="06B563FD"/>
    <w:rsid w:val="075F7BA4"/>
    <w:rsid w:val="09031791"/>
    <w:rsid w:val="1A963CC3"/>
    <w:rsid w:val="24FA4F51"/>
    <w:rsid w:val="26624F0E"/>
    <w:rsid w:val="275414AE"/>
    <w:rsid w:val="296277D0"/>
    <w:rsid w:val="2A871998"/>
    <w:rsid w:val="2BA72778"/>
    <w:rsid w:val="2D3155F4"/>
    <w:rsid w:val="2DAE3CFD"/>
    <w:rsid w:val="2EB73937"/>
    <w:rsid w:val="31DC7068"/>
    <w:rsid w:val="3D760795"/>
    <w:rsid w:val="4029540F"/>
    <w:rsid w:val="402E5E14"/>
    <w:rsid w:val="436239D7"/>
    <w:rsid w:val="4A5D2CA5"/>
    <w:rsid w:val="4B9C736D"/>
    <w:rsid w:val="4D7F755D"/>
    <w:rsid w:val="4F810FF9"/>
    <w:rsid w:val="50347240"/>
    <w:rsid w:val="5CB116FF"/>
    <w:rsid w:val="75942278"/>
    <w:rsid w:val="773077D6"/>
    <w:rsid w:val="776C03AF"/>
    <w:rsid w:val="7A9E589A"/>
    <w:rsid w:val="7DB035B3"/>
    <w:rsid w:val="7E447F52"/>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7">
    <w:name w:val="Default Paragraph Font"/>
    <w:unhideWhenUsed/>
    <w:qFormat/>
    <w:uiPriority w:val="1"/>
  </w:style>
  <w:style w:type="table" w:default="1" w:styleId="10">
    <w:name w:val="Normal Table"/>
    <w:unhideWhenUsed/>
    <w:qFormat/>
    <w:uiPriority w:val="99"/>
    <w:tblPr>
      <w:tblStyle w:val="10"/>
      <w:tblLayout w:type="fixed"/>
      <w:tblCellMar>
        <w:top w:w="0" w:type="dxa"/>
        <w:left w:w="108" w:type="dxa"/>
        <w:bottom w:w="0" w:type="dxa"/>
        <w:right w:w="108" w:type="dxa"/>
      </w:tblCellMar>
    </w:tblPr>
    <w:tcPr>
      <w:textDirection w:val="lrTb"/>
    </w:tcPr>
  </w:style>
  <w:style w:type="paragraph" w:styleId="3">
    <w:name w:val="Body Text Indent 2"/>
    <w:basedOn w:val="1"/>
    <w:unhideWhenUsed/>
    <w:qFormat/>
    <w:uiPriority w:val="99"/>
    <w:pPr>
      <w:spacing w:after="120" w:line="480" w:lineRule="auto"/>
      <w:ind w:left="420" w:leftChars="200"/>
    </w:pPr>
  </w:style>
  <w:style w:type="paragraph" w:styleId="4">
    <w:name w:val="Balloon Text"/>
    <w:basedOn w:val="1"/>
    <w:link w:val="18"/>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unhideWhenUsed/>
    <w:qFormat/>
    <w:uiPriority w:val="99"/>
    <w:rPr>
      <w:color w:val="800080"/>
      <w:u w:val="none"/>
    </w:rPr>
  </w:style>
  <w:style w:type="character" w:styleId="9">
    <w:name w:val="Hyperlink"/>
    <w:basedOn w:val="7"/>
    <w:unhideWhenUsed/>
    <w:qFormat/>
    <w:uiPriority w:val="99"/>
    <w:rPr>
      <w:color w:val="0000FF"/>
      <w:u w:val="none"/>
    </w:rPr>
  </w:style>
  <w:style w:type="paragraph" w:customStyle="1" w:styleId="11">
    <w:name w:val="列出段落1"/>
    <w:basedOn w:val="1"/>
    <w:qFormat/>
    <w:uiPriority w:val="34"/>
    <w:pPr>
      <w:ind w:firstLine="420" w:firstLineChars="200"/>
    </w:pPr>
  </w:style>
  <w:style w:type="paragraph" w:customStyle="1" w:styleId="12">
    <w:name w:val="List Paragraph"/>
    <w:basedOn w:val="1"/>
    <w:qFormat/>
    <w:uiPriority w:val="34"/>
    <w:pPr>
      <w:ind w:firstLine="420" w:firstLineChars="200"/>
    </w:pPr>
  </w:style>
  <w:style w:type="character" w:customStyle="1" w:styleId="13">
    <w:name w:val="页眉 字符"/>
    <w:basedOn w:val="7"/>
    <w:link w:val="6"/>
    <w:qFormat/>
    <w:uiPriority w:val="99"/>
    <w:rPr>
      <w:sz w:val="18"/>
      <w:szCs w:val="18"/>
    </w:rPr>
  </w:style>
  <w:style w:type="character" w:customStyle="1" w:styleId="14">
    <w:name w:val="页脚 字符"/>
    <w:basedOn w:val="7"/>
    <w:link w:val="5"/>
    <w:qFormat/>
    <w:uiPriority w:val="99"/>
    <w:rPr>
      <w:sz w:val="18"/>
      <w:szCs w:val="18"/>
    </w:rPr>
  </w:style>
  <w:style w:type="character" w:customStyle="1" w:styleId="15">
    <w:name w:val="coolbutton"/>
    <w:basedOn w:val="7"/>
    <w:qFormat/>
    <w:uiPriority w:val="0"/>
    <w:rPr/>
  </w:style>
  <w:style w:type="character" w:customStyle="1" w:styleId="16">
    <w:name w:val="hotbutton2"/>
    <w:basedOn w:val="7"/>
    <w:qFormat/>
    <w:uiPriority w:val="0"/>
    <w:rPr/>
  </w:style>
  <w:style w:type="character" w:customStyle="1" w:styleId="17">
    <w:name w:val="hotbutton"/>
    <w:basedOn w:val="7"/>
    <w:qFormat/>
    <w:uiPriority w:val="0"/>
    <w:rPr/>
  </w:style>
  <w:style w:type="character" w:customStyle="1" w:styleId="18">
    <w:name w:val="批注框文本 字符"/>
    <w:basedOn w:val="7"/>
    <w:link w:val="4"/>
    <w:semiHidden/>
    <w:qFormat/>
    <w:uiPriority w:val="99"/>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2162</Words>
  <Characters>2260</Characters>
  <Lines>14</Lines>
  <Paragraphs>4</Paragraphs>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2020-01-17T03:40:00Z</dcterms:created>
  <dc:creator>郑嘉娜</dc:creator>
  <cp:lastModifiedBy>陈水君</cp:lastModifiedBy>
  <cp:lastPrinted>2019-01-23T06:57:00Z</cp:lastPrinted>
  <dcterms:modified xsi:type="dcterms:W3CDTF">2020-03-11T02:38:09Z</dcterms:modified>
  <dc:title>中建规字【2020】1号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ies>
</file>