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CESI黑体-GB2312" w:hAnsi="CESI黑体-GB2312" w:eastAsia="CESI黑体-GB2312" w:cs="CESI黑体-GB2312"/>
          <w:b w:val="0"/>
          <w:bCs/>
          <w:sz w:val="32"/>
          <w:szCs w:val="32"/>
          <w:lang w:eastAsia="zh-CN"/>
        </w:rPr>
      </w:pPr>
      <w:r>
        <w:rPr>
          <w:rFonts w:hint="eastAsia" w:ascii="CESI黑体-GB2312" w:hAnsi="CESI黑体-GB2312" w:eastAsia="CESI黑体-GB2312" w:cs="CESI黑体-GB2312"/>
          <w:b w:val="0"/>
          <w:bCs/>
          <w:sz w:val="32"/>
          <w:szCs w:val="32"/>
          <w:lang w:eastAsia="zh-CN"/>
        </w:rPr>
        <w:t>附件</w:t>
      </w:r>
    </w:p>
    <w:p>
      <w:pPr>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《中山市建设工程施工过程结算管理办法（试行）（征求意见稿）》</w:t>
      </w:r>
    </w:p>
    <w:p>
      <w:pPr>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eastAsia="zh-CN"/>
        </w:rPr>
        <w:t>意见征集及</w:t>
      </w:r>
      <w:r>
        <w:rPr>
          <w:rFonts w:hint="eastAsia" w:ascii="方正小标宋简体" w:hAnsi="方正小标宋简体" w:eastAsia="方正小标宋简体" w:cs="方正小标宋简体"/>
          <w:b w:val="0"/>
          <w:bCs/>
          <w:sz w:val="44"/>
          <w:szCs w:val="44"/>
        </w:rPr>
        <w:t>采纳情况</w:t>
      </w:r>
    </w:p>
    <w:p>
      <w:pPr>
        <w:rPr>
          <w:rFonts w:ascii="仿宋" w:hAnsi="仿宋" w:eastAsia="仿宋"/>
          <w:szCs w:val="21"/>
        </w:rPr>
      </w:pP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《中山市建设工程施工过程结算管理办法（试行）（征求意见稿）》分别向各市属部门、镇街和社会征询意见，征求意见时间为2022年5</w:t>
      </w:r>
      <w:r>
        <w:rPr>
          <w:rFonts w:hint="eastAsia" w:asciiTheme="minorEastAsia" w:hAnsiTheme="minorEastAsia" w:eastAsiaTheme="minorEastAsia" w:cstheme="minorEastAsia"/>
          <w:sz w:val="21"/>
          <w:szCs w:val="21"/>
        </w:rPr>
        <w:t>月17日至202</w:t>
      </w: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年5月</w:t>
      </w:r>
      <w:r>
        <w:rPr>
          <w:rFonts w:hint="eastAsia" w:asciiTheme="minorEastAsia" w:hAnsiTheme="minorEastAsia" w:eastAsiaTheme="minorEastAsia" w:cstheme="minorEastAsia"/>
          <w:sz w:val="21"/>
          <w:szCs w:val="21"/>
          <w:lang w:val="en-US" w:eastAsia="zh-CN"/>
        </w:rPr>
        <w:t>31</w:t>
      </w:r>
      <w:r>
        <w:rPr>
          <w:rFonts w:hint="eastAsia" w:asciiTheme="minorEastAsia" w:hAnsiTheme="minorEastAsia" w:eastAsiaTheme="minorEastAsia" w:cstheme="minorEastAsia"/>
          <w:sz w:val="21"/>
          <w:szCs w:val="21"/>
        </w:rPr>
        <w:t>日。截至202</w:t>
      </w: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年5月</w:t>
      </w:r>
      <w:r>
        <w:rPr>
          <w:rFonts w:hint="eastAsia" w:asciiTheme="minorEastAsia" w:hAnsiTheme="minorEastAsia" w:eastAsiaTheme="minorEastAsia" w:cstheme="minorEastAsia"/>
          <w:sz w:val="21"/>
          <w:szCs w:val="21"/>
          <w:lang w:val="en-US" w:eastAsia="zh-CN"/>
        </w:rPr>
        <w:t>31</w:t>
      </w:r>
      <w:r>
        <w:rPr>
          <w:rFonts w:hint="eastAsia" w:asciiTheme="minorEastAsia" w:hAnsiTheme="minorEastAsia" w:eastAsiaTheme="minorEastAsia" w:cstheme="minorEastAsia"/>
          <w:sz w:val="21"/>
          <w:szCs w:val="21"/>
        </w:rPr>
        <w:t>日，共</w:t>
      </w:r>
      <w:r>
        <w:rPr>
          <w:rFonts w:hint="eastAsia" w:asciiTheme="minorEastAsia" w:hAnsiTheme="minorEastAsia" w:eastAsiaTheme="minorEastAsia" w:cstheme="minorEastAsia"/>
          <w:sz w:val="21"/>
          <w:szCs w:val="21"/>
          <w:lang w:eastAsia="zh-CN"/>
        </w:rPr>
        <w:t>收到</w:t>
      </w:r>
      <w:r>
        <w:rPr>
          <w:rFonts w:hint="eastAsia" w:asciiTheme="minorEastAsia" w:hAnsiTheme="minorEastAsia" w:eastAsiaTheme="minorEastAsia" w:cstheme="minorEastAsia"/>
          <w:sz w:val="21"/>
          <w:szCs w:val="21"/>
          <w:lang w:val="en-US" w:eastAsia="zh-CN"/>
        </w:rPr>
        <w:t>5</w:t>
      </w:r>
      <w:r>
        <w:rPr>
          <w:rFonts w:hint="eastAsia" w:asciiTheme="minorEastAsia" w:hAnsiTheme="minorEastAsia" w:eastAsiaTheme="minorEastAsia" w:cstheme="minorEastAsia"/>
          <w:sz w:val="21"/>
          <w:szCs w:val="21"/>
        </w:rPr>
        <w:t>个单位、</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家企业提出</w:t>
      </w:r>
      <w:r>
        <w:rPr>
          <w:rFonts w:hint="eastAsia" w:asciiTheme="minorEastAsia" w:hAnsiTheme="minorEastAsia" w:eastAsiaTheme="minorEastAsia" w:cstheme="minorEastAsia"/>
          <w:sz w:val="21"/>
          <w:szCs w:val="21"/>
          <w:lang w:eastAsia="zh-CN"/>
        </w:rPr>
        <w:t>的</w:t>
      </w:r>
      <w:r>
        <w:rPr>
          <w:rFonts w:hint="eastAsia" w:asciiTheme="minorEastAsia" w:hAnsiTheme="minorEastAsia" w:eastAsiaTheme="minorEastAsia" w:cstheme="minorEastAsia"/>
          <w:sz w:val="21"/>
          <w:szCs w:val="21"/>
          <w:lang w:val="en-US" w:eastAsia="zh-CN"/>
        </w:rPr>
        <w:t>23条</w:t>
      </w:r>
      <w:r>
        <w:rPr>
          <w:rFonts w:hint="eastAsia" w:asciiTheme="minorEastAsia" w:hAnsiTheme="minorEastAsia" w:eastAsiaTheme="minorEastAsia" w:cstheme="minorEastAsia"/>
          <w:sz w:val="21"/>
          <w:szCs w:val="21"/>
        </w:rPr>
        <w:t>意见，其他单位无修改意见</w:t>
      </w:r>
      <w:r>
        <w:rPr>
          <w:rFonts w:hint="eastAsia" w:asciiTheme="minorEastAsia" w:hAnsiTheme="minorEastAsia" w:eastAsiaTheme="minorEastAsia" w:cstheme="minorEastAsia"/>
          <w:sz w:val="21"/>
          <w:szCs w:val="21"/>
          <w:lang w:eastAsia="zh-CN"/>
        </w:rPr>
        <w:t>或未提意见</w:t>
      </w:r>
      <w:r>
        <w:rPr>
          <w:rFonts w:hint="eastAsia" w:asciiTheme="minorEastAsia" w:hAnsiTheme="minorEastAsia" w:eastAsiaTheme="minorEastAsia" w:cstheme="minorEastAsia"/>
          <w:sz w:val="21"/>
          <w:szCs w:val="21"/>
        </w:rPr>
        <w:t>，各单位的意见及采纳情况如下：</w:t>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25"/>
        <w:gridCol w:w="1290"/>
        <w:gridCol w:w="5985"/>
        <w:gridCol w:w="51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12" w:hRule="atLeast"/>
        </w:trPr>
        <w:tc>
          <w:tcPr>
            <w:tcW w:w="1725"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单位名称</w:t>
            </w:r>
          </w:p>
        </w:tc>
        <w:tc>
          <w:tcPr>
            <w:tcW w:w="1290" w:type="dxa"/>
            <w:vAlign w:val="center"/>
          </w:tcPr>
          <w:p>
            <w:pPr>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条文号</w:t>
            </w:r>
          </w:p>
        </w:tc>
        <w:tc>
          <w:tcPr>
            <w:tcW w:w="5985"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意见</w:t>
            </w:r>
          </w:p>
        </w:tc>
        <w:tc>
          <w:tcPr>
            <w:tcW w:w="5174"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采纳情况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12" w:hRule="atLeast"/>
        </w:trPr>
        <w:tc>
          <w:tcPr>
            <w:tcW w:w="1725" w:type="dxa"/>
            <w:vMerge w:val="restart"/>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市财政局</w:t>
            </w:r>
          </w:p>
        </w:tc>
        <w:tc>
          <w:tcPr>
            <w:tcW w:w="129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第三条</w:t>
            </w:r>
          </w:p>
        </w:tc>
        <w:tc>
          <w:tcPr>
            <w:tcW w:w="5985" w:type="dxa"/>
            <w:vAlign w:val="center"/>
          </w:tcPr>
          <w:p>
            <w:pPr>
              <w:keepNext w:val="0"/>
              <w:keepLines w:val="0"/>
              <w:widowControl/>
              <w:suppressLineNumbers w:val="0"/>
              <w:jc w:val="both"/>
              <w:textAlignment w:val="top"/>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增加“政府投资项目实施过程结算需符合项目承包合同有效工期一年以上（含一年）；结算节点工程造价高于合同总价的10%且不少于1000万元”的内容</w:t>
            </w:r>
          </w:p>
        </w:tc>
        <w:tc>
          <w:tcPr>
            <w:tcW w:w="5174" w:type="dxa"/>
            <w:vAlign w:val="center"/>
          </w:tcPr>
          <w:p>
            <w:pPr>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部分采纳。</w:t>
            </w:r>
          </w:p>
          <w:p>
            <w:pPr>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第三条第一款修改为“合同工期一年（含一年）以上且合同金额超过2000万元以上（含2000万元）的新开工的建设工程项目应当推行施工过程结算。”</w:t>
            </w:r>
          </w:p>
          <w:p>
            <w:pPr>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第三条增加第四款"政府投资项目实施施工过程结算的还需遵守政府有关结算、过程结算的管理办法或管理规程。</w:t>
            </w:r>
            <w:r>
              <w:rPr>
                <w:rFonts w:hint="eastAsia" w:asciiTheme="minorEastAsia" w:hAnsiTheme="minorEastAsia" w:eastAsiaTheme="minorEastAsia" w:cstheme="minorEastAsia"/>
                <w:sz w:val="21"/>
                <w:szCs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12" w:hRule="atLeast"/>
        </w:trPr>
        <w:tc>
          <w:tcPr>
            <w:tcW w:w="1725" w:type="dxa"/>
            <w:vMerge w:val="continue"/>
            <w:vAlign w:val="center"/>
          </w:tcPr>
          <w:p>
            <w:pPr>
              <w:jc w:val="center"/>
              <w:rPr>
                <w:rFonts w:hint="eastAsia" w:asciiTheme="minorEastAsia" w:hAnsiTheme="minorEastAsia" w:eastAsiaTheme="minorEastAsia" w:cstheme="minorEastAsia"/>
                <w:sz w:val="21"/>
                <w:szCs w:val="21"/>
              </w:rPr>
            </w:pPr>
          </w:p>
        </w:tc>
        <w:tc>
          <w:tcPr>
            <w:tcW w:w="129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第六条</w:t>
            </w:r>
          </w:p>
        </w:tc>
        <w:tc>
          <w:tcPr>
            <w:tcW w:w="5985" w:type="dxa"/>
            <w:vAlign w:val="center"/>
          </w:tcPr>
          <w:p>
            <w:pPr>
              <w:keepNext w:val="0"/>
              <w:keepLines w:val="0"/>
              <w:widowControl/>
              <w:suppressLineNumbers w:val="0"/>
              <w:jc w:val="both"/>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Style w:val="18"/>
                <w:rFonts w:hint="eastAsia" w:asciiTheme="minorEastAsia" w:hAnsiTheme="minorEastAsia" w:eastAsiaTheme="minorEastAsia" w:cstheme="minorEastAsia"/>
                <w:sz w:val="21"/>
                <w:szCs w:val="21"/>
                <w:lang w:val="en-US" w:eastAsia="zh-CN" w:bidi="ar"/>
              </w:rPr>
              <w:t>建议“实行施工过程结算的政府投资项目需要报送相关机构审核结算文件的，发包人应在合同中约定施工过程结算报告审核的程序和时限，</w:t>
            </w:r>
            <w:r>
              <w:rPr>
                <w:rStyle w:val="19"/>
                <w:rFonts w:hint="eastAsia" w:asciiTheme="minorEastAsia" w:hAnsiTheme="minorEastAsia" w:eastAsiaTheme="minorEastAsia" w:cstheme="minorEastAsia"/>
                <w:sz w:val="21"/>
                <w:szCs w:val="21"/>
                <w:lang w:val="en-US" w:eastAsia="zh-CN" w:bidi="ar"/>
              </w:rPr>
              <w:t>人材机等价格调差方式</w:t>
            </w:r>
            <w:r>
              <w:rPr>
                <w:rStyle w:val="18"/>
                <w:rFonts w:hint="eastAsia" w:asciiTheme="minorEastAsia" w:hAnsiTheme="minorEastAsia" w:eastAsiaTheme="minorEastAsia" w:cstheme="minorEastAsia"/>
                <w:sz w:val="21"/>
                <w:szCs w:val="21"/>
                <w:lang w:val="en-US" w:eastAsia="zh-CN" w:bidi="ar"/>
              </w:rPr>
              <w:t>”内容修改为“实行施工过程结算的政府投资项目需要报送相关机构审核结算文件的，发包人应在合同中约定施工过程结算报告审核的程序和时限，</w:t>
            </w:r>
            <w:r>
              <w:rPr>
                <w:rStyle w:val="19"/>
                <w:rFonts w:hint="eastAsia" w:asciiTheme="minorEastAsia" w:hAnsiTheme="minorEastAsia" w:eastAsiaTheme="minorEastAsia" w:cstheme="minorEastAsia"/>
                <w:sz w:val="21"/>
                <w:szCs w:val="21"/>
                <w:lang w:val="en-US" w:eastAsia="zh-CN" w:bidi="ar"/>
              </w:rPr>
              <w:t>人材机等价格调差不纳入施工过程结算范围”。</w:t>
            </w:r>
          </w:p>
        </w:tc>
        <w:tc>
          <w:tcPr>
            <w:tcW w:w="5174" w:type="dxa"/>
            <w:vAlign w:val="center"/>
          </w:tcPr>
          <w:p>
            <w:pPr>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部分采纳。</w:t>
            </w:r>
          </w:p>
          <w:p>
            <w:pPr>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删除此款，在第三条增加第四款</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政府投资项目申报施工过程结算的还需遵守政府有关结算、过程结算的管理办法或管理规程。</w:t>
            </w:r>
            <w:r>
              <w:rPr>
                <w:rFonts w:hint="eastAsia" w:asciiTheme="minorEastAsia" w:hAnsiTheme="minorEastAsia" w:eastAsiaTheme="minorEastAsia" w:cstheme="minorEastAsia"/>
                <w:sz w:val="21"/>
                <w:szCs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11" w:hRule="atLeast"/>
        </w:trPr>
        <w:tc>
          <w:tcPr>
            <w:tcW w:w="1725" w:type="dxa"/>
            <w:vMerge w:val="restart"/>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市人力资源和社会保障局</w:t>
            </w:r>
          </w:p>
        </w:tc>
        <w:tc>
          <w:tcPr>
            <w:tcW w:w="129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5985" w:type="dxa"/>
            <w:vAlign w:val="center"/>
          </w:tcPr>
          <w:p>
            <w:pPr>
              <w:keepNext w:val="0"/>
              <w:keepLines w:val="0"/>
              <w:widowControl/>
              <w:suppressLineNumbers w:val="0"/>
              <w:jc w:val="both"/>
              <w:textAlignment w:val="top"/>
              <w:rPr>
                <w:rStyle w:val="18"/>
                <w:rFonts w:hint="eastAsia" w:asciiTheme="minorEastAsia" w:hAnsiTheme="minorEastAsia" w:eastAsiaTheme="minorEastAsia" w:cstheme="minorEastAsia"/>
                <w:sz w:val="21"/>
                <w:szCs w:val="21"/>
                <w:lang w:val="en-US" w:eastAsia="zh-CN" w:bidi="ar"/>
              </w:rPr>
            </w:pPr>
            <w:r>
              <w:rPr>
                <w:rStyle w:val="18"/>
                <w:rFonts w:hint="eastAsia" w:asciiTheme="minorEastAsia" w:hAnsiTheme="minorEastAsia" w:eastAsiaTheme="minorEastAsia" w:cstheme="minorEastAsia"/>
                <w:sz w:val="21"/>
                <w:szCs w:val="21"/>
                <w:lang w:val="en-US" w:eastAsia="zh-CN" w:bidi="ar"/>
              </w:rPr>
              <w:t>建议增加“应在依法订立书面工程施工合同时，约定人工费用拨付周期和方式的条款”</w:t>
            </w:r>
          </w:p>
        </w:tc>
        <w:tc>
          <w:tcPr>
            <w:tcW w:w="5174" w:type="dxa"/>
            <w:vMerge w:val="restart"/>
            <w:vAlign w:val="center"/>
          </w:tcPr>
          <w:p>
            <w:pPr>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不采纳。</w:t>
            </w:r>
          </w:p>
          <w:p>
            <w:pPr>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本办法第六条已规定施工合同应约定施工过程结算的结算周期、计量计价方法等内容。涉及农民工工资支付的按《保障农民工工资支付条例》执行。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11" w:hRule="atLeast"/>
        </w:trPr>
        <w:tc>
          <w:tcPr>
            <w:tcW w:w="1725" w:type="dxa"/>
            <w:vMerge w:val="continue"/>
            <w:vAlign w:val="center"/>
          </w:tcPr>
          <w:p>
            <w:pPr>
              <w:jc w:val="center"/>
              <w:rPr>
                <w:rFonts w:hint="eastAsia" w:asciiTheme="minorEastAsia" w:hAnsiTheme="minorEastAsia" w:eastAsiaTheme="minorEastAsia" w:cstheme="minorEastAsia"/>
                <w:sz w:val="21"/>
                <w:szCs w:val="21"/>
              </w:rPr>
            </w:pPr>
          </w:p>
        </w:tc>
        <w:tc>
          <w:tcPr>
            <w:tcW w:w="129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5985" w:type="dxa"/>
            <w:vAlign w:val="center"/>
          </w:tcPr>
          <w:p>
            <w:pPr>
              <w:keepNext w:val="0"/>
              <w:keepLines w:val="0"/>
              <w:widowControl/>
              <w:suppressLineNumbers w:val="0"/>
              <w:jc w:val="both"/>
              <w:textAlignment w:val="top"/>
              <w:rPr>
                <w:rStyle w:val="18"/>
                <w:rFonts w:hint="eastAsia" w:asciiTheme="minorEastAsia" w:hAnsiTheme="minorEastAsia" w:eastAsiaTheme="minorEastAsia" w:cstheme="minorEastAsia"/>
                <w:sz w:val="21"/>
                <w:szCs w:val="21"/>
                <w:lang w:val="en-US" w:eastAsia="zh-CN" w:bidi="ar"/>
              </w:rPr>
            </w:pPr>
            <w:r>
              <w:rPr>
                <w:rStyle w:val="18"/>
                <w:rFonts w:hint="eastAsia" w:asciiTheme="minorEastAsia" w:hAnsiTheme="minorEastAsia" w:eastAsiaTheme="minorEastAsia" w:cstheme="minorEastAsia"/>
                <w:sz w:val="21"/>
                <w:szCs w:val="21"/>
                <w:lang w:val="en-US" w:eastAsia="zh-CN" w:bidi="ar"/>
              </w:rPr>
              <w:t>建议增加“建设单位对施工总承包单位按时足额支付农民工工资的监督的条款”</w:t>
            </w:r>
          </w:p>
        </w:tc>
        <w:tc>
          <w:tcPr>
            <w:tcW w:w="5174" w:type="dxa"/>
            <w:vMerge w:val="continue"/>
            <w:vAlign w:val="center"/>
          </w:tcPr>
          <w:p>
            <w:pPr>
              <w:jc w:val="both"/>
              <w:rPr>
                <w:rFonts w:hint="eastAsia" w:asciiTheme="minorEastAsia" w:hAnsiTheme="minorEastAsia" w:eastAsiaTheme="minorEastAsia" w:cs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51" w:hRule="atLeast"/>
        </w:trPr>
        <w:tc>
          <w:tcPr>
            <w:tcW w:w="1725" w:type="dxa"/>
            <w:vMerge w:val="continue"/>
            <w:vAlign w:val="center"/>
          </w:tcPr>
          <w:p>
            <w:pPr>
              <w:jc w:val="center"/>
              <w:rPr>
                <w:rFonts w:hint="eastAsia" w:asciiTheme="minorEastAsia" w:hAnsiTheme="minorEastAsia" w:eastAsiaTheme="minorEastAsia" w:cstheme="minorEastAsia"/>
                <w:sz w:val="21"/>
                <w:szCs w:val="21"/>
              </w:rPr>
            </w:pPr>
          </w:p>
        </w:tc>
        <w:tc>
          <w:tcPr>
            <w:tcW w:w="129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5985" w:type="dxa"/>
            <w:vAlign w:val="center"/>
          </w:tcPr>
          <w:p>
            <w:pPr>
              <w:keepNext w:val="0"/>
              <w:keepLines w:val="0"/>
              <w:widowControl/>
              <w:suppressLineNumbers w:val="0"/>
              <w:jc w:val="both"/>
              <w:textAlignment w:val="top"/>
              <w:rPr>
                <w:rStyle w:val="18"/>
                <w:rFonts w:hint="eastAsia" w:asciiTheme="minorEastAsia" w:hAnsiTheme="minorEastAsia" w:eastAsiaTheme="minorEastAsia" w:cstheme="minorEastAsia"/>
                <w:sz w:val="21"/>
                <w:szCs w:val="21"/>
                <w:lang w:val="en-US" w:eastAsia="zh-CN" w:bidi="ar"/>
              </w:rPr>
            </w:pPr>
            <w:r>
              <w:rPr>
                <w:rStyle w:val="18"/>
                <w:rFonts w:hint="eastAsia" w:asciiTheme="minorEastAsia" w:hAnsiTheme="minorEastAsia" w:eastAsiaTheme="minorEastAsia" w:cstheme="minorEastAsia"/>
                <w:sz w:val="21"/>
                <w:szCs w:val="21"/>
                <w:lang w:val="en-US" w:eastAsia="zh-CN" w:bidi="ar"/>
              </w:rPr>
              <w:t>建议增加“落实总承包单位代发的条款”</w:t>
            </w:r>
          </w:p>
        </w:tc>
        <w:tc>
          <w:tcPr>
            <w:tcW w:w="5174" w:type="dxa"/>
            <w:vMerge w:val="continue"/>
            <w:vAlign w:val="center"/>
          </w:tcPr>
          <w:p>
            <w:pPr>
              <w:jc w:val="both"/>
              <w:rPr>
                <w:rFonts w:hint="eastAsia" w:asciiTheme="minorEastAsia" w:hAnsiTheme="minorEastAsia" w:eastAsiaTheme="minorEastAsia" w:cs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512" w:hRule="atLeast"/>
        </w:trPr>
        <w:tc>
          <w:tcPr>
            <w:tcW w:w="1725" w:type="dxa"/>
            <w:vMerge w:val="restart"/>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翠亨新区管理</w:t>
            </w:r>
          </w:p>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委员会</w:t>
            </w:r>
          </w:p>
        </w:tc>
        <w:tc>
          <w:tcPr>
            <w:tcW w:w="1290" w:type="dxa"/>
            <w:vAlign w:val="center"/>
          </w:tcPr>
          <w:p>
            <w:pPr>
              <w:ind w:firstLine="420" w:firstLineChars="20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第一条</w:t>
            </w:r>
          </w:p>
        </w:tc>
        <w:tc>
          <w:tcPr>
            <w:tcW w:w="5985" w:type="dxa"/>
            <w:vAlign w:val="center"/>
          </w:tcPr>
          <w:p>
            <w:pPr>
              <w:jc w:val="both"/>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《广东省建设工程造价管理规定》（粤府令第</w:t>
            </w:r>
            <w:r>
              <w:rPr>
                <w:rFonts w:hint="eastAsia" w:asciiTheme="minorEastAsia" w:hAnsiTheme="minorEastAsia" w:eastAsiaTheme="minorEastAsia" w:cstheme="minorEastAsia"/>
                <w:color w:val="FF0000"/>
                <w:sz w:val="21"/>
                <w:szCs w:val="21"/>
              </w:rPr>
              <w:t>289</w:t>
            </w:r>
            <w:r>
              <w:rPr>
                <w:rFonts w:hint="eastAsia" w:asciiTheme="minorEastAsia" w:hAnsiTheme="minorEastAsia" w:eastAsiaTheme="minorEastAsia" w:cstheme="minorEastAsia"/>
                <w:sz w:val="21"/>
                <w:szCs w:val="21"/>
              </w:rPr>
              <w:t>号）</w:t>
            </w:r>
            <w:r>
              <w:rPr>
                <w:rFonts w:hint="eastAsia" w:asciiTheme="minorEastAsia" w:hAnsiTheme="minorEastAsia" w:eastAsiaTheme="minorEastAsia" w:cstheme="minorEastAsia"/>
                <w:sz w:val="21"/>
                <w:szCs w:val="21"/>
                <w:lang w:val="en-US" w:eastAsia="zh-CN"/>
              </w:rPr>
              <w:t>,《广东省建设工程造价管理规定》（粤府令第205号）已更新.</w:t>
            </w:r>
          </w:p>
        </w:tc>
        <w:tc>
          <w:tcPr>
            <w:tcW w:w="5174" w:type="dxa"/>
            <w:vAlign w:val="center"/>
          </w:tcPr>
          <w:p>
            <w:pPr>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不采纳。</w:t>
            </w:r>
          </w:p>
          <w:p>
            <w:pPr>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广东省人民政府关于废止和修改部分省政府规章的决定》(粤府令第289号)是对部分省政府规章废止和修改的规定，其中对《广东省建设工程造价管理规定》（粤府令第205号）进行部分修改，《广东省建设工程造价管理规定》的文号没有变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55" w:hRule="atLeast"/>
        </w:trPr>
        <w:tc>
          <w:tcPr>
            <w:tcW w:w="1725" w:type="dxa"/>
            <w:vMerge w:val="continue"/>
            <w:vAlign w:val="center"/>
          </w:tcPr>
          <w:p>
            <w:pPr>
              <w:jc w:val="center"/>
              <w:rPr>
                <w:rFonts w:hint="eastAsia" w:asciiTheme="minorEastAsia" w:hAnsiTheme="minorEastAsia" w:eastAsiaTheme="minorEastAsia" w:cstheme="minorEastAsia"/>
                <w:sz w:val="21"/>
                <w:szCs w:val="21"/>
              </w:rPr>
            </w:pPr>
          </w:p>
        </w:tc>
        <w:tc>
          <w:tcPr>
            <w:tcW w:w="129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第三条</w:t>
            </w:r>
          </w:p>
        </w:tc>
        <w:tc>
          <w:tcPr>
            <w:tcW w:w="5985" w:type="dxa"/>
            <w:vAlign w:val="center"/>
          </w:tcPr>
          <w:p>
            <w:pPr>
              <w:keepNext w:val="0"/>
              <w:keepLines w:val="0"/>
              <w:widowControl/>
              <w:suppressLineNumbers w:val="0"/>
              <w:jc w:val="both"/>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建议在合同工期超过一年（含一年）以上开工项目，增加“且合同价款超过一定金额的项目，推行过程结算”。</w:t>
            </w:r>
          </w:p>
        </w:tc>
        <w:tc>
          <w:tcPr>
            <w:tcW w:w="5174" w:type="dxa"/>
            <w:vAlign w:val="center"/>
          </w:tcPr>
          <w:p>
            <w:pPr>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采纳。</w:t>
            </w:r>
          </w:p>
          <w:p>
            <w:pPr>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第三条第一款修改为“合同工期一年（含一年）以上且合同金额超过2000万以上（含2000万）的新开工的建设工程项目应当推行施工过程结算。”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1" w:hRule="atLeast"/>
        </w:trPr>
        <w:tc>
          <w:tcPr>
            <w:tcW w:w="1725" w:type="dxa"/>
            <w:vMerge w:val="continue"/>
            <w:vAlign w:val="center"/>
          </w:tcPr>
          <w:p>
            <w:pPr>
              <w:jc w:val="center"/>
              <w:rPr>
                <w:rFonts w:hint="eastAsia" w:asciiTheme="minorEastAsia" w:hAnsiTheme="minorEastAsia" w:eastAsiaTheme="minorEastAsia" w:cstheme="minorEastAsia"/>
                <w:sz w:val="21"/>
                <w:szCs w:val="21"/>
              </w:rPr>
            </w:pPr>
          </w:p>
        </w:tc>
        <w:tc>
          <w:tcPr>
            <w:tcW w:w="1290" w:type="dxa"/>
            <w:tcBorders>
              <w:top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第七条</w:t>
            </w:r>
          </w:p>
        </w:tc>
        <w:tc>
          <w:tcPr>
            <w:tcW w:w="5985" w:type="dxa"/>
            <w:tcBorders>
              <w:top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建议删除第七条出现的“（分项）”。</w:t>
            </w:r>
          </w:p>
        </w:tc>
        <w:tc>
          <w:tcPr>
            <w:tcW w:w="5174" w:type="dxa"/>
            <w:tcBorders>
              <w:top w:val="single" w:color="000000" w:sz="4" w:space="0"/>
              <w:left w:val="single" w:color="000000" w:sz="4" w:space="0"/>
              <w:bottom w:val="single" w:color="000000" w:sz="4" w:space="0"/>
              <w:right w:val="single" w:color="000000" w:sz="4" w:space="0"/>
            </w:tcBorders>
            <w:vAlign w:val="center"/>
          </w:tcPr>
          <w:p>
            <w:pPr>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不采纳。</w:t>
            </w:r>
          </w:p>
          <w:p>
            <w:pPr>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第七条是供发承包双方对节点划分的参照，具体由发承包双方自行约定。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71" w:hRule="atLeast"/>
        </w:trPr>
        <w:tc>
          <w:tcPr>
            <w:tcW w:w="1725" w:type="dxa"/>
            <w:vMerge w:val="continue"/>
            <w:tcBorders>
              <w:bottom w:val="single" w:color="000000" w:sz="4" w:space="0"/>
            </w:tcBorders>
            <w:vAlign w:val="center"/>
          </w:tcPr>
          <w:p>
            <w:pPr>
              <w:jc w:val="center"/>
              <w:rPr>
                <w:rFonts w:hint="eastAsia" w:asciiTheme="minorEastAsia" w:hAnsiTheme="minorEastAsia" w:eastAsiaTheme="minorEastAsia" w:cstheme="minorEastAsia"/>
                <w:sz w:val="21"/>
                <w:szCs w:val="21"/>
              </w:rPr>
            </w:pPr>
          </w:p>
        </w:tc>
        <w:tc>
          <w:tcPr>
            <w:tcW w:w="1290" w:type="dxa"/>
            <w:tcBorders>
              <w:top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第十二条</w:t>
            </w:r>
          </w:p>
        </w:tc>
        <w:tc>
          <w:tcPr>
            <w:tcW w:w="5985" w:type="dxa"/>
            <w:tcBorders>
              <w:top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经发承包双方签署确认的施工过程结算文件是施工进度款支付参考依据，并作为竣工结算文件的组成之一，经上级领导部门进一步审核作为最终结算价。</w:t>
            </w:r>
          </w:p>
        </w:tc>
        <w:tc>
          <w:tcPr>
            <w:tcW w:w="5174" w:type="dxa"/>
            <w:tcBorders>
              <w:top w:val="single" w:color="000000" w:sz="4" w:space="0"/>
              <w:left w:val="single" w:color="000000" w:sz="4" w:space="0"/>
              <w:bottom w:val="single" w:color="000000" w:sz="4" w:space="0"/>
              <w:right w:val="single" w:color="000000" w:sz="4" w:space="0"/>
            </w:tcBorders>
            <w:vAlign w:val="center"/>
          </w:tcPr>
          <w:p>
            <w:pPr>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不采纳。</w:t>
            </w:r>
          </w:p>
          <w:p>
            <w:pPr>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按《广东省住房和城乡建设厅关于房屋建筑和市政基础设施工程施工过程结算的若干指导意见》第十一条，经发承包双方签署确认的施工过程结算文件是竣工结算文件的组成之一。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71" w:hRule="atLeast"/>
        </w:trPr>
        <w:tc>
          <w:tcPr>
            <w:tcW w:w="1725" w:type="dxa"/>
            <w:tcBorders>
              <w:bottom w:val="single" w:color="000000"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黄圃镇城管住建和农业农村局</w:t>
            </w:r>
          </w:p>
        </w:tc>
        <w:tc>
          <w:tcPr>
            <w:tcW w:w="1290" w:type="dxa"/>
            <w:tcBorders>
              <w:top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第三条</w:t>
            </w:r>
          </w:p>
        </w:tc>
        <w:tc>
          <w:tcPr>
            <w:tcW w:w="5985" w:type="dxa"/>
            <w:tcBorders>
              <w:top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合同工期两年以上新开工的建设工程项目应当推行施工过程结算。</w:t>
            </w:r>
          </w:p>
        </w:tc>
        <w:tc>
          <w:tcPr>
            <w:tcW w:w="5174" w:type="dxa"/>
            <w:tcBorders>
              <w:top w:val="single" w:color="000000" w:sz="4" w:space="0"/>
              <w:left w:val="single" w:color="000000" w:sz="4" w:space="0"/>
              <w:bottom w:val="single" w:color="000000" w:sz="4" w:space="0"/>
              <w:right w:val="single" w:color="000000" w:sz="4" w:space="0"/>
            </w:tcBorders>
            <w:vAlign w:val="center"/>
          </w:tcPr>
          <w:p>
            <w:pPr>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不采纳。</w:t>
            </w:r>
          </w:p>
          <w:p>
            <w:pPr>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不符合中山市推行施工过程结算的实际情况。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269" w:hRule="atLeast"/>
        </w:trPr>
        <w:tc>
          <w:tcPr>
            <w:tcW w:w="1725" w:type="dxa"/>
            <w:vMerge w:val="restart"/>
            <w:tcBorders>
              <w:top w:val="single" w:color="000000" w:sz="4" w:space="0"/>
              <w:left w:val="single" w:color="000000" w:sz="4" w:space="0"/>
              <w:right w:val="single" w:color="000000" w:sz="4" w:space="0"/>
            </w:tcBorders>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中山市代建项目管理办公室</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第六条</w:t>
            </w:r>
          </w:p>
        </w:tc>
        <w:tc>
          <w:tcPr>
            <w:tcW w:w="59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top"/>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“实行施工过程结算的政府投资项目需要报送相关机构审核结算文件的，发包人应在合同中约定施工过程结算报告审核的程序和时限……”</w:t>
            </w:r>
            <w:r>
              <w:rPr>
                <w:rFonts w:hint="eastAsia" w:asciiTheme="minorEastAsia" w:hAnsiTheme="minorEastAsia" w:eastAsiaTheme="minorEastAsia" w:cstheme="minorEastAsia"/>
                <w:b/>
                <w:bCs/>
                <w:i w:val="0"/>
                <w:iCs w:val="0"/>
                <w:color w:val="0000FF"/>
                <w:kern w:val="0"/>
                <w:sz w:val="21"/>
                <w:szCs w:val="21"/>
                <w:u w:val="none"/>
                <w:lang w:val="en-US" w:eastAsia="zh-CN" w:bidi="ar"/>
              </w:rPr>
              <w:t>建议将“施工过程结算报告审核的程序和时限”删去</w:t>
            </w: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5174" w:type="dxa"/>
            <w:tcBorders>
              <w:top w:val="single" w:color="000000" w:sz="4" w:space="0"/>
              <w:left w:val="single" w:color="000000" w:sz="4" w:space="0"/>
              <w:bottom w:val="single" w:color="000000" w:sz="4" w:space="0"/>
              <w:right w:val="single" w:color="000000" w:sz="4" w:space="0"/>
            </w:tcBorders>
            <w:vAlign w:val="center"/>
          </w:tcPr>
          <w:p>
            <w:pPr>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部分采纳。</w:t>
            </w:r>
          </w:p>
          <w:p>
            <w:pPr>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删除此款，在第三条增加第四款</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政府投资项目实施施工过程结算的还需遵守政府有关结算、过程结算的管理办法或管理规程。</w:t>
            </w:r>
            <w:r>
              <w:rPr>
                <w:rFonts w:hint="eastAsia" w:asciiTheme="minorEastAsia" w:hAnsiTheme="minorEastAsia" w:eastAsiaTheme="minorEastAsia" w:cstheme="minorEastAsia"/>
                <w:sz w:val="21"/>
                <w:szCs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1" w:hRule="atLeast"/>
        </w:trPr>
        <w:tc>
          <w:tcPr>
            <w:tcW w:w="1725" w:type="dxa"/>
            <w:vMerge w:val="continue"/>
            <w:tcBorders>
              <w:left w:val="single" w:color="000000" w:sz="4" w:space="0"/>
              <w:right w:val="single" w:color="000000" w:sz="4" w:space="0"/>
            </w:tcBorders>
            <w:vAlign w:val="center"/>
          </w:tcPr>
          <w:p>
            <w:pPr>
              <w:jc w:val="center"/>
              <w:rPr>
                <w:rFonts w:hint="eastAsia" w:asciiTheme="minorEastAsia" w:hAnsiTheme="minorEastAsia" w:eastAsiaTheme="minorEastAsia" w:cstheme="minorEastAsia"/>
                <w:sz w:val="21"/>
                <w:szCs w:val="21"/>
              </w:rPr>
            </w:pP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第九条</w:t>
            </w:r>
          </w:p>
        </w:tc>
        <w:tc>
          <w:tcPr>
            <w:tcW w:w="59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top"/>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建议增加施工过程结算资料：</w:t>
            </w:r>
            <w:r>
              <w:rPr>
                <w:rFonts w:hint="eastAsia" w:asciiTheme="minorEastAsia" w:hAnsiTheme="minorEastAsia" w:eastAsiaTheme="minorEastAsia" w:cstheme="minorEastAsia"/>
                <w:b/>
                <w:bCs/>
                <w:i w:val="0"/>
                <w:iCs w:val="0"/>
                <w:color w:val="0000FF"/>
                <w:kern w:val="0"/>
                <w:sz w:val="21"/>
                <w:szCs w:val="21"/>
                <w:u w:val="none"/>
                <w:lang w:val="en-US" w:eastAsia="zh-CN" w:bidi="ar"/>
              </w:rPr>
              <w:t>经建设各方确认的质量验收合格的文件。</w:t>
            </w:r>
          </w:p>
        </w:tc>
        <w:tc>
          <w:tcPr>
            <w:tcW w:w="5174" w:type="dxa"/>
            <w:tcBorders>
              <w:top w:val="single" w:color="000000" w:sz="4" w:space="0"/>
              <w:left w:val="single" w:color="000000" w:sz="4" w:space="0"/>
              <w:bottom w:val="single" w:color="000000" w:sz="4" w:space="0"/>
              <w:right w:val="single" w:color="000000" w:sz="4" w:space="0"/>
            </w:tcBorders>
            <w:vAlign w:val="center"/>
          </w:tcPr>
          <w:p>
            <w:pPr>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不采纳。</w:t>
            </w:r>
          </w:p>
          <w:p>
            <w:pPr>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第九条中施工过程结算的资料有“包括但不限于”的表述，发承包双方可在合同中约定需增加的结算资料，本条款不再一一表述。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13" w:hRule="atLeast"/>
        </w:trPr>
        <w:tc>
          <w:tcPr>
            <w:tcW w:w="1725" w:type="dxa"/>
            <w:vMerge w:val="continue"/>
            <w:tcBorders>
              <w:left w:val="single" w:color="000000" w:sz="4" w:space="0"/>
              <w:right w:val="single" w:color="000000" w:sz="4" w:space="0"/>
            </w:tcBorders>
            <w:vAlign w:val="center"/>
          </w:tcPr>
          <w:p>
            <w:pPr>
              <w:jc w:val="center"/>
              <w:rPr>
                <w:rFonts w:hint="eastAsia" w:asciiTheme="minorEastAsia" w:hAnsiTheme="minorEastAsia" w:eastAsiaTheme="minorEastAsia" w:cstheme="minorEastAsia"/>
                <w:sz w:val="21"/>
                <w:szCs w:val="21"/>
              </w:rPr>
            </w:pP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第十条</w:t>
            </w:r>
          </w:p>
        </w:tc>
        <w:tc>
          <w:tcPr>
            <w:tcW w:w="59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top"/>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“施工过程结算应依据合同约定，对质量合格工程进行计量计价……”建议修改为：施工过程结算应依据合同约定，</w:t>
            </w:r>
            <w:r>
              <w:rPr>
                <w:rFonts w:hint="eastAsia" w:asciiTheme="minorEastAsia" w:hAnsiTheme="minorEastAsia" w:eastAsiaTheme="minorEastAsia" w:cstheme="minorEastAsia"/>
                <w:b/>
                <w:bCs/>
                <w:i w:val="0"/>
                <w:iCs w:val="0"/>
                <w:color w:val="0000FF"/>
                <w:kern w:val="0"/>
                <w:sz w:val="21"/>
                <w:szCs w:val="21"/>
                <w:u w:val="none"/>
                <w:lang w:val="en-US" w:eastAsia="zh-CN" w:bidi="ar"/>
              </w:rPr>
              <w:t>在施工过程结算节点工程验收（验评）合格后，</w:t>
            </w:r>
            <w:bookmarkStart w:id="0" w:name="_GoBack"/>
            <w:bookmarkEnd w:id="0"/>
            <w:r>
              <w:rPr>
                <w:rFonts w:hint="eastAsia" w:asciiTheme="minorEastAsia" w:hAnsiTheme="minorEastAsia" w:eastAsiaTheme="minorEastAsia" w:cstheme="minorEastAsia"/>
                <w:b/>
                <w:bCs/>
                <w:i w:val="0"/>
                <w:iCs w:val="0"/>
                <w:color w:val="0000FF"/>
                <w:kern w:val="0"/>
                <w:sz w:val="21"/>
                <w:szCs w:val="21"/>
                <w:u w:val="none"/>
                <w:lang w:val="en-US" w:eastAsia="zh-CN" w:bidi="ar"/>
              </w:rPr>
              <w:t>并达到合同约定的使用功能的，</w:t>
            </w:r>
            <w:r>
              <w:rPr>
                <w:rFonts w:hint="eastAsia" w:asciiTheme="minorEastAsia" w:hAnsiTheme="minorEastAsia" w:eastAsiaTheme="minorEastAsia" w:cstheme="minorEastAsia"/>
                <w:i w:val="0"/>
                <w:iCs w:val="0"/>
                <w:color w:val="000000"/>
                <w:kern w:val="0"/>
                <w:sz w:val="21"/>
                <w:szCs w:val="21"/>
                <w:u w:val="none"/>
                <w:lang w:val="en-US" w:eastAsia="zh-CN" w:bidi="ar"/>
              </w:rPr>
              <w:t>对质量合格工程进行计量计价……</w:t>
            </w:r>
          </w:p>
        </w:tc>
        <w:tc>
          <w:tcPr>
            <w:tcW w:w="5174" w:type="dxa"/>
            <w:tcBorders>
              <w:top w:val="single" w:color="000000" w:sz="4" w:space="0"/>
              <w:left w:val="single" w:color="000000" w:sz="4" w:space="0"/>
              <w:bottom w:val="single" w:color="000000" w:sz="4" w:space="0"/>
              <w:right w:val="single" w:color="000000" w:sz="4" w:space="0"/>
            </w:tcBorders>
            <w:vAlign w:val="center"/>
          </w:tcPr>
          <w:p>
            <w:pPr>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不采纳。</w:t>
            </w:r>
          </w:p>
          <w:p>
            <w:pPr>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发承包双方可在合同约定质量合格的界定标准。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13" w:hRule="atLeast"/>
        </w:trPr>
        <w:tc>
          <w:tcPr>
            <w:tcW w:w="1725" w:type="dxa"/>
            <w:vMerge w:val="continue"/>
            <w:tcBorders>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sz w:val="21"/>
                <w:szCs w:val="21"/>
              </w:rPr>
            </w:pP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第十一条</w:t>
            </w:r>
          </w:p>
        </w:tc>
        <w:tc>
          <w:tcPr>
            <w:tcW w:w="59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因承包人原因未在约定期限内提交施工过程结算报告及相应结算资料，发包人可以依据合同约定根据已有资料自行开展施工过程结算活动。”建议修改为：“……发包人可以依据合同约定根据已有资料自行开展施工过程结算活动，</w:t>
            </w:r>
            <w:r>
              <w:rPr>
                <w:rFonts w:hint="eastAsia" w:asciiTheme="minorEastAsia" w:hAnsiTheme="minorEastAsia" w:eastAsiaTheme="minorEastAsia" w:cstheme="minorEastAsia"/>
                <w:b/>
                <w:bCs/>
                <w:i w:val="0"/>
                <w:iCs w:val="0"/>
                <w:color w:val="0000FF"/>
                <w:kern w:val="0"/>
                <w:sz w:val="21"/>
                <w:szCs w:val="21"/>
                <w:u w:val="none"/>
                <w:lang w:val="en-US" w:eastAsia="zh-CN" w:bidi="ar"/>
              </w:rPr>
              <w:t>或者待项目竣工验收后，再开展竣工验收结算工作</w:t>
            </w: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5174" w:type="dxa"/>
            <w:tcBorders>
              <w:top w:val="single" w:color="000000" w:sz="4" w:space="0"/>
              <w:left w:val="single" w:color="000000" w:sz="4" w:space="0"/>
              <w:bottom w:val="single" w:color="000000" w:sz="4" w:space="0"/>
              <w:right w:val="single" w:color="000000" w:sz="4" w:space="0"/>
            </w:tcBorders>
            <w:vAlign w:val="center"/>
          </w:tcPr>
          <w:p>
            <w:pPr>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不采纳。</w:t>
            </w:r>
          </w:p>
          <w:p>
            <w:pPr>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不符合中山市推行施工过程结算的实际情况。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44" w:hRule="atLeast"/>
        </w:trPr>
        <w:tc>
          <w:tcPr>
            <w:tcW w:w="1725" w:type="dxa"/>
            <w:vMerge w:val="restart"/>
            <w:tcBorders>
              <w:top w:val="single" w:color="000000" w:sz="4" w:space="0"/>
              <w:left w:val="single" w:color="000000" w:sz="4" w:space="0"/>
              <w:right w:val="single" w:color="000000" w:sz="4" w:space="0"/>
            </w:tcBorders>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中山市捷高建设工程事务所有限公司</w:t>
            </w:r>
          </w:p>
        </w:tc>
        <w:tc>
          <w:tcPr>
            <w:tcW w:w="1290" w:type="dxa"/>
            <w:tcBorders>
              <w:top w:val="single" w:color="000000" w:sz="4" w:space="0"/>
              <w:left w:val="single" w:color="000000" w:sz="4" w:space="0"/>
              <w:bottom w:val="single" w:color="000000" w:sz="4" w:space="0"/>
              <w:right w:val="single" w:color="000000" w:sz="4" w:space="0"/>
            </w:tcBorders>
            <w:vAlign w:val="center"/>
          </w:tcPr>
          <w:p>
            <w:pPr>
              <w:ind w:firstLine="420" w:firstLineChars="20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第五条</w:t>
            </w:r>
          </w:p>
        </w:tc>
        <w:tc>
          <w:tcPr>
            <w:tcW w:w="5985" w:type="dxa"/>
            <w:tcBorders>
              <w:top w:val="single" w:color="000000" w:sz="4" w:space="0"/>
              <w:left w:val="single" w:color="000000" w:sz="4" w:space="0"/>
              <w:bottom w:val="single" w:color="000000" w:sz="4" w:space="0"/>
              <w:right w:val="single" w:color="000000" w:sz="4" w:space="0"/>
            </w:tcBorders>
            <w:vAlign w:val="center"/>
          </w:tcPr>
          <w:p>
            <w:pPr>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【修改前】发承包双方可自行组织，也可以委托工程咨询机构或工程造价咨询机构(以下简称“造价咨询人”)编审施工过程结算文件。</w:t>
            </w:r>
          </w:p>
          <w:p>
            <w:pPr>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【修改后】发承包双方可自行组织，也可以委托工程咨询机构或工程造价咨询机构(以下简称“造价咨询人”)编审施工过程结算文件。造价成果应由编审的注册造价工程师签署和盖执业印章，并承担相应责任。</w:t>
            </w:r>
          </w:p>
        </w:tc>
        <w:tc>
          <w:tcPr>
            <w:tcW w:w="5174" w:type="dxa"/>
            <w:tcBorders>
              <w:top w:val="single" w:color="000000" w:sz="4" w:space="0"/>
              <w:left w:val="single" w:color="000000" w:sz="4" w:space="0"/>
              <w:bottom w:val="single" w:color="000000" w:sz="4" w:space="0"/>
              <w:right w:val="single" w:color="000000" w:sz="4" w:space="0"/>
            </w:tcBorders>
            <w:vAlign w:val="center"/>
          </w:tcPr>
          <w:p>
            <w:pPr>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采纳。</w:t>
            </w:r>
          </w:p>
          <w:p>
            <w:pPr>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增加“受委托的造价咨询人编审的施工过程结算文件等造价成果文件应由注册造价工程师按执业范围签字并加盖执业印章，并承担相应的责任。”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44" w:hRule="atLeast"/>
        </w:trPr>
        <w:tc>
          <w:tcPr>
            <w:tcW w:w="1725" w:type="dxa"/>
            <w:vMerge w:val="continue"/>
            <w:tcBorders>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sz w:val="21"/>
                <w:szCs w:val="21"/>
              </w:rPr>
            </w:pPr>
          </w:p>
        </w:tc>
        <w:tc>
          <w:tcPr>
            <w:tcW w:w="1290" w:type="dxa"/>
            <w:tcBorders>
              <w:top w:val="single" w:color="000000" w:sz="4" w:space="0"/>
              <w:left w:val="single" w:color="000000" w:sz="4" w:space="0"/>
              <w:bottom w:val="single" w:color="000000" w:sz="4" w:space="0"/>
              <w:right w:val="single" w:color="000000" w:sz="4" w:space="0"/>
            </w:tcBorders>
            <w:vAlign w:val="center"/>
          </w:tcPr>
          <w:p>
            <w:pPr>
              <w:ind w:firstLine="420" w:firstLineChars="20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第九条</w:t>
            </w:r>
          </w:p>
        </w:tc>
        <w:tc>
          <w:tcPr>
            <w:tcW w:w="5985" w:type="dxa"/>
            <w:tcBorders>
              <w:top w:val="single" w:color="000000" w:sz="4" w:space="0"/>
              <w:left w:val="single" w:color="000000" w:sz="4" w:space="0"/>
              <w:bottom w:val="single" w:color="000000" w:sz="4" w:space="0"/>
              <w:right w:val="single" w:color="000000" w:sz="4" w:space="0"/>
            </w:tcBorders>
            <w:vAlign w:val="center"/>
          </w:tcPr>
          <w:p>
            <w:pPr>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【修改前】涉及人工、材料、机械等价格调差费用按发承包双方合同约定执行。</w:t>
            </w:r>
          </w:p>
          <w:p>
            <w:pPr>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【修改后】涉及人工、材料、机械等价格调差费用以及安全文明施工费按发承包双方合同约定执行。</w:t>
            </w:r>
          </w:p>
        </w:tc>
        <w:tc>
          <w:tcPr>
            <w:tcW w:w="5174" w:type="dxa"/>
            <w:tcBorders>
              <w:top w:val="single" w:color="000000" w:sz="4" w:space="0"/>
              <w:left w:val="single" w:color="000000" w:sz="4" w:space="0"/>
              <w:bottom w:val="single" w:color="000000" w:sz="4" w:space="0"/>
              <w:right w:val="single" w:color="000000" w:sz="4" w:space="0"/>
            </w:tcBorders>
            <w:vAlign w:val="center"/>
          </w:tcPr>
          <w:p>
            <w:pPr>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采纳。</w:t>
            </w:r>
          </w:p>
          <w:p>
            <w:pPr>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1、在第六条第一款中增加“人材机价格调整方式”；</w:t>
            </w:r>
          </w:p>
          <w:p>
            <w:pPr>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在第七条增加“绿色施工安全防护费用的支付节点、比例。如按照相应规则量化计算项目（例如脚手架、施工围挡）可按脚手架、施工围挡为支付节点，以实际进度同步足额结算；如按照费率计算包干的内容（例如临时设施、绿色施工、安全施工），可约定入场临时设施搭建、地下施工、主体结构封顶、装饰施工、室外施工等为支付节点，前期可高比例支付。”</w:t>
            </w:r>
          </w:p>
          <w:p>
            <w:pPr>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3、原第九条中“涉及人工、材料、机械等价格调差费用按发承包双方合同约定执行。”放到第十条，同时在第十条中增加“涉及绿色施工安全防护费用按发承包双方合同约定执行。”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44" w:hRule="atLeast"/>
        </w:trPr>
        <w:tc>
          <w:tcPr>
            <w:tcW w:w="1725" w:type="dxa"/>
            <w:vMerge w:val="restart"/>
            <w:tcBorders>
              <w:top w:val="single" w:color="000000" w:sz="4" w:space="0"/>
              <w:left w:val="single" w:color="000000" w:sz="4" w:space="0"/>
              <w:right w:val="single" w:color="000000" w:sz="4" w:space="0"/>
            </w:tcBorders>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广东正中信德建设工程咨询有限公司</w:t>
            </w:r>
          </w:p>
        </w:tc>
        <w:tc>
          <w:tcPr>
            <w:tcW w:w="1290" w:type="dxa"/>
            <w:tcBorders>
              <w:top w:val="single" w:color="000000" w:sz="4" w:space="0"/>
              <w:left w:val="single" w:color="000000" w:sz="4" w:space="0"/>
              <w:bottom w:val="single" w:color="000000" w:sz="4" w:space="0"/>
              <w:right w:val="single" w:color="000000" w:sz="4" w:space="0"/>
            </w:tcBorders>
            <w:vAlign w:val="center"/>
          </w:tcPr>
          <w:p>
            <w:pPr>
              <w:ind w:firstLine="420" w:firstLineChars="200"/>
              <w:jc w:val="center"/>
              <w:rPr>
                <w:rFonts w:hint="eastAsia" w:asciiTheme="minorEastAsia" w:hAnsiTheme="minorEastAsia" w:eastAsiaTheme="minorEastAsia" w:cstheme="minorEastAsia"/>
                <w:sz w:val="21"/>
                <w:szCs w:val="21"/>
              </w:rPr>
            </w:pPr>
          </w:p>
        </w:tc>
        <w:tc>
          <w:tcPr>
            <w:tcW w:w="59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1、第一条中的“《广东省建设工程造价管理规定》（粤府令第205号）”，已更新为“《广东省建设工程造价管理规定》（粤府令第289号）”。</w:t>
            </w:r>
          </w:p>
        </w:tc>
        <w:tc>
          <w:tcPr>
            <w:tcW w:w="51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不采纳。</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广东省人民政府关于废止和修改部分省政府规章的决定》(粤府令第289号)是对部分省政府规章废止和修改的规定，其中对《广东省建设工程造价管理规定》（粤府令第205号）进行部分修改，《广东省建设工程造价管理规定》的文号没有变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44" w:hRule="atLeast"/>
        </w:trPr>
        <w:tc>
          <w:tcPr>
            <w:tcW w:w="1725" w:type="dxa"/>
            <w:vMerge w:val="continue"/>
            <w:tcBorders>
              <w:left w:val="single" w:color="000000" w:sz="4" w:space="0"/>
              <w:right w:val="single" w:color="000000" w:sz="4" w:space="0"/>
            </w:tcBorders>
            <w:vAlign w:val="center"/>
          </w:tcPr>
          <w:p>
            <w:pPr>
              <w:jc w:val="center"/>
              <w:rPr>
                <w:rFonts w:hint="eastAsia" w:asciiTheme="minorEastAsia" w:hAnsiTheme="minorEastAsia" w:eastAsiaTheme="minorEastAsia" w:cstheme="minorEastAsia"/>
                <w:sz w:val="21"/>
                <w:szCs w:val="21"/>
              </w:rPr>
            </w:pPr>
          </w:p>
        </w:tc>
        <w:tc>
          <w:tcPr>
            <w:tcW w:w="1290" w:type="dxa"/>
            <w:tcBorders>
              <w:top w:val="single" w:color="000000" w:sz="4" w:space="0"/>
              <w:left w:val="single" w:color="000000" w:sz="4" w:space="0"/>
              <w:bottom w:val="single" w:color="000000" w:sz="4" w:space="0"/>
              <w:right w:val="single" w:color="000000" w:sz="4" w:space="0"/>
            </w:tcBorders>
            <w:vAlign w:val="center"/>
          </w:tcPr>
          <w:p>
            <w:pPr>
              <w:ind w:firstLine="420" w:firstLineChars="200"/>
              <w:jc w:val="center"/>
              <w:rPr>
                <w:rFonts w:hint="eastAsia" w:asciiTheme="minorEastAsia" w:hAnsiTheme="minorEastAsia" w:eastAsiaTheme="minorEastAsia" w:cstheme="minorEastAsia"/>
                <w:sz w:val="21"/>
                <w:szCs w:val="21"/>
              </w:rPr>
            </w:pPr>
          </w:p>
        </w:tc>
        <w:tc>
          <w:tcPr>
            <w:tcW w:w="59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2、第三条仅提出了“合同工期一年（含一年）以上新开工的建设工程项目应当推行施工过程结算”。能否也对工程投资额超过一定金额（如合同金额3000万及以上）的也提出推行施工过程结算？</w:t>
            </w:r>
          </w:p>
        </w:tc>
        <w:tc>
          <w:tcPr>
            <w:tcW w:w="51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部分采纳。</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修改为“合同工期一年（含一年）以上且合同金额超过2000万以上（含2000万）的新开工的建设工程项目应当推行施工过程结算。”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44" w:hRule="atLeast"/>
        </w:trPr>
        <w:tc>
          <w:tcPr>
            <w:tcW w:w="1725" w:type="dxa"/>
            <w:vMerge w:val="continue"/>
            <w:tcBorders>
              <w:left w:val="single" w:color="000000" w:sz="4" w:space="0"/>
              <w:right w:val="single" w:color="000000" w:sz="4" w:space="0"/>
            </w:tcBorders>
            <w:vAlign w:val="center"/>
          </w:tcPr>
          <w:p>
            <w:pPr>
              <w:jc w:val="center"/>
              <w:rPr>
                <w:rFonts w:hint="eastAsia" w:asciiTheme="minorEastAsia" w:hAnsiTheme="minorEastAsia" w:eastAsiaTheme="minorEastAsia" w:cstheme="minorEastAsia"/>
                <w:sz w:val="21"/>
                <w:szCs w:val="21"/>
              </w:rPr>
            </w:pPr>
          </w:p>
        </w:tc>
        <w:tc>
          <w:tcPr>
            <w:tcW w:w="1290" w:type="dxa"/>
            <w:tcBorders>
              <w:top w:val="single" w:color="000000" w:sz="4" w:space="0"/>
              <w:left w:val="single" w:color="000000" w:sz="4" w:space="0"/>
              <w:bottom w:val="single" w:color="000000" w:sz="4" w:space="0"/>
              <w:right w:val="single" w:color="000000" w:sz="4" w:space="0"/>
            </w:tcBorders>
            <w:vAlign w:val="center"/>
          </w:tcPr>
          <w:p>
            <w:pPr>
              <w:ind w:firstLine="420" w:firstLineChars="200"/>
              <w:jc w:val="center"/>
              <w:rPr>
                <w:rFonts w:hint="eastAsia" w:asciiTheme="minorEastAsia" w:hAnsiTheme="minorEastAsia" w:eastAsiaTheme="minorEastAsia" w:cstheme="minorEastAsia"/>
                <w:sz w:val="21"/>
                <w:szCs w:val="21"/>
              </w:rPr>
            </w:pPr>
          </w:p>
        </w:tc>
        <w:tc>
          <w:tcPr>
            <w:tcW w:w="59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3、第五条“...也可以委托工程咨询机构或工程造价咨询机构(以下简称“造价咨询人”)...”由于国家已经取消了工程造价咨询资质，此处是否应进行更合理的表述，如引入企业信用与执业人员信用？</w:t>
            </w:r>
          </w:p>
        </w:tc>
        <w:tc>
          <w:tcPr>
            <w:tcW w:w="51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采纳。</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第五条修改“发承包双方可自行组织，也可以委托符合工商执照营业范围的工程咨询机构或工程造价咨询机构(以下简称“造价咨询人”)编审施工过程结算文件。受委托的造价咨询人编审的施工过程结算文件等造价成果文件应由注册造价工程师按执业范围签字并加盖执业印章，并承担相应的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44" w:hRule="atLeast"/>
        </w:trPr>
        <w:tc>
          <w:tcPr>
            <w:tcW w:w="1725" w:type="dxa"/>
            <w:vMerge w:val="continue"/>
            <w:tcBorders>
              <w:left w:val="single" w:color="000000" w:sz="4" w:space="0"/>
              <w:right w:val="single" w:color="000000" w:sz="4" w:space="0"/>
            </w:tcBorders>
            <w:vAlign w:val="center"/>
          </w:tcPr>
          <w:p>
            <w:pPr>
              <w:jc w:val="center"/>
              <w:rPr>
                <w:rFonts w:hint="eastAsia" w:asciiTheme="minorEastAsia" w:hAnsiTheme="minorEastAsia" w:eastAsiaTheme="minorEastAsia" w:cstheme="minorEastAsia"/>
                <w:sz w:val="21"/>
                <w:szCs w:val="21"/>
              </w:rPr>
            </w:pPr>
          </w:p>
        </w:tc>
        <w:tc>
          <w:tcPr>
            <w:tcW w:w="1290" w:type="dxa"/>
            <w:tcBorders>
              <w:top w:val="single" w:color="000000" w:sz="4" w:space="0"/>
              <w:left w:val="single" w:color="000000" w:sz="4" w:space="0"/>
              <w:bottom w:val="single" w:color="000000" w:sz="4" w:space="0"/>
              <w:right w:val="single" w:color="000000" w:sz="4" w:space="0"/>
            </w:tcBorders>
            <w:vAlign w:val="center"/>
          </w:tcPr>
          <w:p>
            <w:pPr>
              <w:ind w:firstLine="420" w:firstLineChars="200"/>
              <w:jc w:val="center"/>
              <w:rPr>
                <w:rFonts w:hint="eastAsia" w:asciiTheme="minorEastAsia" w:hAnsiTheme="minorEastAsia" w:eastAsiaTheme="minorEastAsia" w:cstheme="minorEastAsia"/>
                <w:sz w:val="21"/>
                <w:szCs w:val="21"/>
              </w:rPr>
            </w:pPr>
          </w:p>
        </w:tc>
        <w:tc>
          <w:tcPr>
            <w:tcW w:w="59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4、第七条出现的“分项工程”，因分项工程是分部工程的组成部分，也是建设工程中最基本的单位内容，即通常所指的各种实物工程量，过程结算的对象划分到最低层级应为分部工程。若将分项工程也作为结算对象，将会造成口径不统一、效率低下和数据混乱。故建议删除。</w:t>
            </w:r>
          </w:p>
        </w:tc>
        <w:tc>
          <w:tcPr>
            <w:tcW w:w="51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不采纳。</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第七条是供发承包双方对节点划分的参照，具体由发承包双方自行约定。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44" w:hRule="atLeast"/>
        </w:trPr>
        <w:tc>
          <w:tcPr>
            <w:tcW w:w="1725" w:type="dxa"/>
            <w:vMerge w:val="continue"/>
            <w:tcBorders>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sz w:val="21"/>
                <w:szCs w:val="21"/>
              </w:rPr>
            </w:pPr>
          </w:p>
        </w:tc>
        <w:tc>
          <w:tcPr>
            <w:tcW w:w="1290" w:type="dxa"/>
            <w:tcBorders>
              <w:top w:val="single" w:color="000000" w:sz="4" w:space="0"/>
              <w:left w:val="single" w:color="000000" w:sz="4" w:space="0"/>
              <w:bottom w:val="single" w:color="000000" w:sz="4" w:space="0"/>
              <w:right w:val="single" w:color="000000" w:sz="4" w:space="0"/>
            </w:tcBorders>
            <w:vAlign w:val="center"/>
          </w:tcPr>
          <w:p>
            <w:pPr>
              <w:ind w:firstLine="420" w:firstLineChars="200"/>
              <w:jc w:val="center"/>
              <w:rPr>
                <w:rFonts w:hint="eastAsia" w:asciiTheme="minorEastAsia" w:hAnsiTheme="minorEastAsia" w:eastAsiaTheme="minorEastAsia" w:cstheme="minorEastAsia"/>
                <w:sz w:val="21"/>
                <w:szCs w:val="21"/>
              </w:rPr>
            </w:pPr>
          </w:p>
        </w:tc>
        <w:tc>
          <w:tcPr>
            <w:tcW w:w="59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5、第二十条“...工程造价社会组织”是否改为“工程造价社会组织或社会团体”？</w:t>
            </w:r>
          </w:p>
        </w:tc>
        <w:tc>
          <w:tcPr>
            <w:tcW w:w="51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不采纳。</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按《广东省住房和城乡建设厅关于房屋建筑和市政基础设施工程施工过程结算的若干指导意见》第十六条中“工程造价社会组织“的表述。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40" w:hRule="atLeast"/>
        </w:trPr>
        <w:tc>
          <w:tcPr>
            <w:tcW w:w="1725" w:type="dxa"/>
            <w:vMerge w:val="restart"/>
            <w:tcBorders>
              <w:top w:val="single" w:color="000000" w:sz="4" w:space="0"/>
              <w:left w:val="single" w:color="000000" w:sz="4" w:space="0"/>
              <w:right w:val="single" w:color="000000" w:sz="4" w:space="0"/>
            </w:tcBorders>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广东信仕德建设项目管理有限公司中山分公司</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第九条</w:t>
            </w:r>
          </w:p>
        </w:tc>
        <w:tc>
          <w:tcPr>
            <w:tcW w:w="59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top"/>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施工过程结算的资料包括...建议增加“经确认的中介预算书”。</w:t>
            </w:r>
          </w:p>
        </w:tc>
        <w:tc>
          <w:tcPr>
            <w:tcW w:w="51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不采纳。</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第九条中施工过程结算的资料有“包括但不限于”的表述，发承包双方可在合同中约定需增加的结算资料，本条款不再一一表述。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44" w:hRule="atLeast"/>
        </w:trPr>
        <w:tc>
          <w:tcPr>
            <w:tcW w:w="1725" w:type="dxa"/>
            <w:vMerge w:val="continue"/>
            <w:tcBorders>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sz w:val="21"/>
                <w:szCs w:val="21"/>
              </w:rPr>
            </w:pP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第十二条</w:t>
            </w:r>
          </w:p>
        </w:tc>
        <w:tc>
          <w:tcPr>
            <w:tcW w:w="59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“经发承包双方签署确认的施工过程结算文件是竣工结算文件的组成之一。”建议说明施工过程结算文件作为竣工结算文件的组成部分，最终竣工结算以合同约定为准。</w:t>
            </w:r>
          </w:p>
        </w:tc>
        <w:tc>
          <w:tcPr>
            <w:tcW w:w="51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不采纳。</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按《广东省住房和城乡建设厅关于房屋建筑和市政基础设施工程施工过程结算的若干指导意见》第十一条、第十六条，经发承包双方签署确认的施工过程结算文件是竣工结算文件的组成之一。</w:t>
            </w:r>
          </w:p>
        </w:tc>
      </w:tr>
    </w:tbl>
    <w:p>
      <w:pPr>
        <w:ind w:firstLine="420" w:firstLineChars="200"/>
        <w:rPr>
          <w:rFonts w:ascii="仿宋" w:hAnsi="仿宋" w:eastAsia="仿宋"/>
          <w:szCs w:val="21"/>
        </w:rPr>
      </w:pPr>
    </w:p>
    <w:sectPr>
      <w:footerReference r:id="rId3" w:type="default"/>
      <w:pgSz w:w="16838" w:h="11906" w:orient="landscape"/>
      <w:pgMar w:top="709" w:right="1440" w:bottom="709"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CESI黑体-GB2312">
    <w:panose1 w:val="02000500000000000000"/>
    <w:charset w:val="86"/>
    <w:family w:val="auto"/>
    <w:pitch w:val="default"/>
    <w:sig w:usb0="800002BF" w:usb1="184F6CF8" w:usb2="00000012" w:usb3="00000000" w:csb0="0004000F"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PAGE   \* MERGEFORMAT</w:instrText>
    </w:r>
    <w:r>
      <w:fldChar w:fldCharType="separate"/>
    </w:r>
    <w:r>
      <w:rPr>
        <w:lang w:val="zh-CN"/>
      </w:rPr>
      <w:t>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false"/>
  <w:bordersDoNotSurroundFooter w:val="false"/>
  <w:revisionView w:markup="0"/>
  <w:trackRevisions w:val="tru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4D9F"/>
    <w:rsid w:val="0003237B"/>
    <w:rsid w:val="00071DD1"/>
    <w:rsid w:val="000827B3"/>
    <w:rsid w:val="000D6D9B"/>
    <w:rsid w:val="000E6A3B"/>
    <w:rsid w:val="00110AEB"/>
    <w:rsid w:val="00125B99"/>
    <w:rsid w:val="0014209F"/>
    <w:rsid w:val="0015254C"/>
    <w:rsid w:val="00166A93"/>
    <w:rsid w:val="00186AF1"/>
    <w:rsid w:val="001B1A8A"/>
    <w:rsid w:val="001B5B3D"/>
    <w:rsid w:val="001C0F4A"/>
    <w:rsid w:val="001C2561"/>
    <w:rsid w:val="001E23F9"/>
    <w:rsid w:val="00257FCF"/>
    <w:rsid w:val="00271C58"/>
    <w:rsid w:val="002A614B"/>
    <w:rsid w:val="002C1E6B"/>
    <w:rsid w:val="002D7D5C"/>
    <w:rsid w:val="002F2350"/>
    <w:rsid w:val="00317724"/>
    <w:rsid w:val="0034287C"/>
    <w:rsid w:val="00345931"/>
    <w:rsid w:val="00393BF9"/>
    <w:rsid w:val="003A33C8"/>
    <w:rsid w:val="003C5363"/>
    <w:rsid w:val="00402F9F"/>
    <w:rsid w:val="004037A7"/>
    <w:rsid w:val="00405088"/>
    <w:rsid w:val="00416D0B"/>
    <w:rsid w:val="004372AE"/>
    <w:rsid w:val="00446108"/>
    <w:rsid w:val="00466EA0"/>
    <w:rsid w:val="004672A1"/>
    <w:rsid w:val="004B1B37"/>
    <w:rsid w:val="004D4D9F"/>
    <w:rsid w:val="004E731F"/>
    <w:rsid w:val="00544CBC"/>
    <w:rsid w:val="005508ED"/>
    <w:rsid w:val="00555147"/>
    <w:rsid w:val="00594C43"/>
    <w:rsid w:val="005C4F17"/>
    <w:rsid w:val="005E4E1E"/>
    <w:rsid w:val="006013A6"/>
    <w:rsid w:val="00636F6E"/>
    <w:rsid w:val="0065735B"/>
    <w:rsid w:val="006B046A"/>
    <w:rsid w:val="006D13AD"/>
    <w:rsid w:val="006F5C09"/>
    <w:rsid w:val="00750986"/>
    <w:rsid w:val="007757B8"/>
    <w:rsid w:val="007A1E1A"/>
    <w:rsid w:val="007B5C88"/>
    <w:rsid w:val="007F1911"/>
    <w:rsid w:val="0083613B"/>
    <w:rsid w:val="008647BA"/>
    <w:rsid w:val="00891B9D"/>
    <w:rsid w:val="008A0A54"/>
    <w:rsid w:val="008B1644"/>
    <w:rsid w:val="008B26C0"/>
    <w:rsid w:val="008D0A8F"/>
    <w:rsid w:val="008E16D0"/>
    <w:rsid w:val="00917EC1"/>
    <w:rsid w:val="00964059"/>
    <w:rsid w:val="009A402F"/>
    <w:rsid w:val="009A78A1"/>
    <w:rsid w:val="009B276F"/>
    <w:rsid w:val="009D42F5"/>
    <w:rsid w:val="009F40BB"/>
    <w:rsid w:val="00A8244A"/>
    <w:rsid w:val="00A85FED"/>
    <w:rsid w:val="00A97838"/>
    <w:rsid w:val="00AD52F2"/>
    <w:rsid w:val="00AF71F8"/>
    <w:rsid w:val="00B07918"/>
    <w:rsid w:val="00B11A19"/>
    <w:rsid w:val="00B3467D"/>
    <w:rsid w:val="00B94702"/>
    <w:rsid w:val="00BE7B73"/>
    <w:rsid w:val="00C5195F"/>
    <w:rsid w:val="00C64DB4"/>
    <w:rsid w:val="00C6515B"/>
    <w:rsid w:val="00C97C16"/>
    <w:rsid w:val="00CA03FE"/>
    <w:rsid w:val="00CA669A"/>
    <w:rsid w:val="00CC45E3"/>
    <w:rsid w:val="00CF3957"/>
    <w:rsid w:val="00D00FF0"/>
    <w:rsid w:val="00D05D0D"/>
    <w:rsid w:val="00D60528"/>
    <w:rsid w:val="00DA1210"/>
    <w:rsid w:val="00DD20A7"/>
    <w:rsid w:val="00DF010E"/>
    <w:rsid w:val="00DF7A1E"/>
    <w:rsid w:val="00E0624C"/>
    <w:rsid w:val="00E11AF4"/>
    <w:rsid w:val="00E76600"/>
    <w:rsid w:val="00E941FE"/>
    <w:rsid w:val="00E952EC"/>
    <w:rsid w:val="00EB1F62"/>
    <w:rsid w:val="00EC35C8"/>
    <w:rsid w:val="00EC5DA0"/>
    <w:rsid w:val="00ED25EE"/>
    <w:rsid w:val="00F143A1"/>
    <w:rsid w:val="00F40109"/>
    <w:rsid w:val="00F56394"/>
    <w:rsid w:val="00F858B7"/>
    <w:rsid w:val="00FA559D"/>
    <w:rsid w:val="00FC44D4"/>
    <w:rsid w:val="00FD1DA5"/>
    <w:rsid w:val="00FD3FC7"/>
    <w:rsid w:val="00FD6EDF"/>
    <w:rsid w:val="00FF7ABE"/>
    <w:rsid w:val="05924ED1"/>
    <w:rsid w:val="09283539"/>
    <w:rsid w:val="1464765E"/>
    <w:rsid w:val="2B182E52"/>
    <w:rsid w:val="2BB27D27"/>
    <w:rsid w:val="37FBC707"/>
    <w:rsid w:val="5DFFB1FF"/>
    <w:rsid w:val="616077E2"/>
    <w:rsid w:val="6B6508BF"/>
    <w:rsid w:val="70B3611D"/>
    <w:rsid w:val="750C1D12"/>
    <w:rsid w:val="7F207775"/>
    <w:rsid w:val="7FBFA458"/>
    <w:rsid w:val="FFFB98C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6"/>
    <w:semiHidden/>
    <w:unhideWhenUsed/>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9"/>
    <w:semiHidden/>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line="300" w:lineRule="atLeast"/>
      <w:jc w:val="left"/>
    </w:pPr>
    <w:rPr>
      <w:rFonts w:ascii="宋体" w:hAnsi="宋体" w:cs="宋体"/>
      <w:kern w:val="0"/>
      <w:sz w:val="24"/>
      <w:szCs w:val="24"/>
    </w:rPr>
  </w:style>
  <w:style w:type="table" w:styleId="7">
    <w:name w:val="Table Grid"/>
    <w:basedOn w:val="6"/>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9">
    <w:name w:val="页眉 Char"/>
    <w:link w:val="4"/>
    <w:semiHidden/>
    <w:qFormat/>
    <w:locked/>
    <w:uiPriority w:val="99"/>
    <w:rPr>
      <w:rFonts w:cs="Times New Roman"/>
      <w:sz w:val="18"/>
      <w:szCs w:val="18"/>
    </w:rPr>
  </w:style>
  <w:style w:type="character" w:customStyle="1" w:styleId="10">
    <w:name w:val="页脚 Char"/>
    <w:link w:val="3"/>
    <w:qFormat/>
    <w:locked/>
    <w:uiPriority w:val="99"/>
    <w:rPr>
      <w:rFonts w:cs="Times New Roman"/>
      <w:sz w:val="18"/>
      <w:szCs w:val="18"/>
    </w:rPr>
  </w:style>
  <w:style w:type="paragraph" w:customStyle="1" w:styleId="11">
    <w:name w:val="Char Char Char Char"/>
    <w:basedOn w:val="1"/>
    <w:qFormat/>
    <w:uiPriority w:val="0"/>
    <w:pPr>
      <w:widowControl/>
      <w:spacing w:after="160" w:line="240" w:lineRule="exact"/>
      <w:jc w:val="left"/>
    </w:pPr>
    <w:rPr>
      <w:rFonts w:ascii="Times New Roman" w:hAnsi="Times New Roman"/>
      <w:szCs w:val="24"/>
    </w:rPr>
  </w:style>
  <w:style w:type="paragraph" w:customStyle="1" w:styleId="12">
    <w:name w:val="Char2"/>
    <w:basedOn w:val="1"/>
    <w:qFormat/>
    <w:uiPriority w:val="0"/>
    <w:rPr>
      <w:rFonts w:ascii="Times New Roman" w:hAnsi="Times New Roman"/>
      <w:szCs w:val="24"/>
    </w:rPr>
  </w:style>
  <w:style w:type="paragraph" w:customStyle="1" w:styleId="13">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customStyle="1" w:styleId="14">
    <w:name w:val="Char Char Char Char1"/>
    <w:basedOn w:val="1"/>
    <w:qFormat/>
    <w:uiPriority w:val="0"/>
    <w:pPr>
      <w:spacing w:line="574" w:lineRule="exact"/>
    </w:pPr>
  </w:style>
  <w:style w:type="paragraph" w:customStyle="1" w:styleId="15">
    <w:name w:val="Char"/>
    <w:basedOn w:val="1"/>
    <w:qFormat/>
    <w:uiPriority w:val="0"/>
    <w:pPr>
      <w:widowControl/>
      <w:spacing w:after="160" w:line="240" w:lineRule="exact"/>
      <w:jc w:val="left"/>
    </w:pPr>
    <w:rPr>
      <w:rFonts w:ascii="Times New Roman" w:hAnsi="Times New Roman"/>
      <w:szCs w:val="24"/>
    </w:rPr>
  </w:style>
  <w:style w:type="character" w:customStyle="1" w:styleId="16">
    <w:name w:val="批注框文本 Char"/>
    <w:link w:val="2"/>
    <w:semiHidden/>
    <w:qFormat/>
    <w:uiPriority w:val="99"/>
    <w:rPr>
      <w:kern w:val="2"/>
      <w:sz w:val="18"/>
      <w:szCs w:val="18"/>
    </w:rPr>
  </w:style>
  <w:style w:type="character" w:customStyle="1" w:styleId="17">
    <w:name w:val="muiname"/>
    <w:qFormat/>
    <w:uiPriority w:val="0"/>
  </w:style>
  <w:style w:type="character" w:customStyle="1" w:styleId="18">
    <w:name w:val="font21"/>
    <w:basedOn w:val="8"/>
    <w:qFormat/>
    <w:uiPriority w:val="0"/>
    <w:rPr>
      <w:rFonts w:hint="eastAsia" w:ascii="仿宋" w:hAnsi="仿宋" w:eastAsia="仿宋" w:cs="仿宋"/>
      <w:color w:val="000000"/>
      <w:sz w:val="28"/>
      <w:szCs w:val="28"/>
      <w:u w:val="none"/>
    </w:rPr>
  </w:style>
  <w:style w:type="character" w:customStyle="1" w:styleId="19">
    <w:name w:val="font11"/>
    <w:basedOn w:val="8"/>
    <w:qFormat/>
    <w:uiPriority w:val="0"/>
    <w:rPr>
      <w:rFonts w:hint="eastAsia" w:ascii="仿宋" w:hAnsi="仿宋" w:eastAsia="仿宋" w:cs="仿宋"/>
      <w:b/>
      <w:bCs/>
      <w:color w:val="000000"/>
      <w:sz w:val="28"/>
      <w:szCs w:val="2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585</Words>
  <Characters>3336</Characters>
  <Lines>27</Lines>
  <Paragraphs>7</Paragraphs>
  <TotalTime>2</TotalTime>
  <ScaleCrop>false</ScaleCrop>
  <LinksUpToDate>false</LinksUpToDate>
  <CharactersWithSpaces>3914</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2017-07-25T08:16:00Z</dcterms:created>
  <dc:creator>admin</dc:creator>
  <cp:lastModifiedBy>赵科林</cp:lastModifiedBy>
  <cp:lastPrinted>2017-07-28T10:02:00Z</cp:lastPrinted>
  <dcterms:modified xsi:type="dcterms:W3CDTF">2022-09-13T21:33:02Z</dcterms:modified>
  <dc:title>《中山市建设工程施工过程结算管理办法（试行）（征求意见稿）》</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ies>
</file>