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4"/>
          <w:lang w:eastAsia="zh-CN" w:bidi="ar-SA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24"/>
          <w:lang w:val="en-US" w:eastAsia="zh-CN" w:bidi="ar-SA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24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32"/>
          <w:lang w:val="en-US" w:eastAsia="zh-CN"/>
        </w:rPr>
        <w:t>主会场观摩工程-合展科技产业园项目概况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小标宋" w:hAnsi="小标宋" w:eastAsia="小标宋" w:cs="Courier New"/>
          <w:kern w:val="0"/>
          <w:sz w:val="4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工程名称：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/>
        </w:rPr>
        <w:t>合展科技产业园</w:t>
      </w:r>
      <w:r>
        <w:rPr>
          <w:rFonts w:hint="eastAsia" w:ascii="仿宋_GB2312" w:hAnsi="仿宋_GB2312" w:cs="宋体"/>
          <w:kern w:val="0"/>
          <w:sz w:val="32"/>
          <w:szCs w:val="32"/>
          <w:highlight w:val="none"/>
          <w:lang w:eastAsia="zh-CN"/>
        </w:rPr>
        <w:t>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/>
        </w:rPr>
        <w:t>建设单位：广东合展科技有限公司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/>
        </w:rPr>
        <w:t>勘察单位：中佳勘察设计有限公司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/>
        </w:rPr>
        <w:t>设计单位：广东中山建筑设计院有限公司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/>
        </w:rPr>
        <w:t>监理单位：广东中山建设监理咨询有限公司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/>
        </w:rPr>
        <w:t>总承包单位：中国建筑第四工程局有限公司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-SA"/>
        </w:rPr>
        <w:t>观摩时间：9月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-SA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-SA"/>
        </w:rPr>
        <w:t>日-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9月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-SA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-SA"/>
        </w:rPr>
        <w:t>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/>
        </w:rPr>
        <w:t>联系人：张杰，联系方式：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val="en-US" w:eastAsia="zh-CN"/>
        </w:rPr>
        <w:t>17605603573</w:t>
      </w:r>
      <w:r>
        <w:rPr>
          <w:rFonts w:hint="eastAsia" w:ascii="仿宋_GB2312" w:hAnsi="仿宋_GB2312" w:cs="宋体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  <w:t>项目概况：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项目位于中山市火炬开发区张家边“倾九”</w:t>
      </w:r>
      <w:r>
        <w:rPr>
          <w:rFonts w:hint="eastAsia" w:ascii="仿宋_GB2312" w:hAnsi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  <w:t>建筑类型包括厂房、办公楼、宿舍，</w:t>
      </w:r>
      <w:r>
        <w:rPr>
          <w:rFonts w:hint="eastAsia" w:ascii="仿宋_GB2312" w:hAnsi="仿宋_GB2312" w:cs="仿宋_GB2312"/>
          <w:kern w:val="0"/>
          <w:sz w:val="32"/>
          <w:szCs w:val="32"/>
          <w:highlight w:val="none"/>
          <w:lang w:eastAsia="zh-CN" w:bidi="ar-SA"/>
        </w:rPr>
        <w:t>其中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  <w:t>厂房高度为49.6米，办公楼高度为53.4米，宿舍高度为79米</w:t>
      </w:r>
      <w:r>
        <w:rPr>
          <w:rFonts w:hint="eastAsia" w:ascii="仿宋_GB2312" w:hAnsi="仿宋_GB2312" w:cs="仿宋_GB2312"/>
          <w:kern w:val="0"/>
          <w:sz w:val="32"/>
          <w:szCs w:val="32"/>
          <w:highlight w:val="none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  <w:t>总建筑面积约31.7万平方米。项目建成后将成为用于发展先进制造、新材料、医疗器械、电子元器件等的现代化高标准工业厂房。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  <w:t>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观摩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  <w:t>亮点：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</w:rPr>
        <w:t>智慧工地</w:t>
      </w: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</w:rPr>
        <w:t>本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</w:rPr>
        <w:t>采用智慧工地一体化管理云平台管理，依托计算机信息、网络通讯、物联网、系统集成及云计算技术，通过数据采集、信息动态交互、智能分析，建立一套集成的项目建设综合管理系统。实现项目管理信息化、网络化、智能化、规范化，对建设工程的实施过程进行全方位的动态监控管理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项目应用抹光、整平、巡检机器人，促进建筑施工现场“智能化”生产。现场管理人员通过佩戴的5G智能安全帽，可实现实时录制现场巡检画面，对重难点的施工，进行远程指导协作。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</w:rPr>
        <w:t>绿色施工</w:t>
      </w: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：项目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采用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</w:rPr>
        <w:t>绿色施工在线监测及量化评价技术，通过在施工现场安装智能仪表并借助GPRS通讯和计算机软件技术，以数字化的方式对施工现场能耗、水耗、施工噪声、施工扬尘、大型施工设备安全运行状况等各项绿色施工指标数据进行实时监测、记录、统计、分析、评价和预警。通过实施定型化安全防护、定型化钢筋加工棚、定型化安全通道、可周转围挡、生活区等。可达到工具化、定型化、标准化，装拆方便、安全可靠、环保节能。采用自动喷淋系统，通过管理平台、监测终端、环场喷淋、以及雾炮机设备，实现喷淋全场覆盖，以达到防尘降噪、净化空气的作用，营造良好施工作业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</w:rPr>
        <w:t>优秀工艺工法展示</w:t>
      </w: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</w:rPr>
        <w:t>主要包括主体结构、砌筑抹灰、机电安装、屋面工程、设备房安装及装修、幕墙安装</w:t>
      </w: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</w:rPr>
        <w:t>。项目团队制定防渗漏管理措施、钢筋混凝土工程质量通病防治措施、给排水工程质量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通病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</w:rPr>
        <w:t>防治措施、装饰装修工程质量通病防治措施等专项管理体系，针对施工过程中易出现的质量问题进行有效管控。通过质量日检、周检、月检等专项检查、以及质量专题会提高全员质量管理水平。配置专业质量工程师、专业工长对原材加工制作、现场绑扎、混凝土浇筑、过程成品保护等专项技术交底及全过程旁站、跟踪、管控。混凝土浇筑过程板厚检测控制，现场坍落度检测并记录，混凝土试块标准养</w:t>
      </w: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护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</w:rPr>
        <w:t>新技术应用</w:t>
      </w: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</w:rPr>
        <w:t>项目在施工中应用住建部颁发的建筑业10项新技术中的</w:t>
      </w: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</w:rPr>
        <w:t>大项</w:t>
      </w: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</w:rPr>
        <w:t>小项，主要包括高性能混凝土技术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绿色施工技术、BIM技术、信息化技术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asciiTheme="minorHAnsi" w:hAnsiTheme="minorHAnsi" w:cstheme="minorBidi"/>
          <w:b w:val="0"/>
          <w:bCs w:val="0"/>
          <w:sz w:val="32"/>
          <w:szCs w:val="24"/>
          <w:lang w:eastAsia="zh-CN" w:bidi="ar-SA"/>
        </w:rPr>
      </w:pP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</w:rPr>
        <w:t>党建引领</w:t>
      </w: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</w:rPr>
        <w:t>项目联合五方责任主体和各参建单位成立项目党支部，推动党建和业务深度融合，实现联合共建，加强党建对施工生产的有效引领，充分发挥大型企业担当，强化党的领导，把党建工作做实，以党建为开路先锋及工作动力，实现政府工程高质量发展，充分彰显了党的建设工作的显著优势。</w:t>
      </w:r>
      <w:r>
        <w:rPr>
          <w:rFonts w:hint="eastAsia" w:eastAsia="仿宋_GB2312" w:asciiTheme="minorHAnsi" w:hAnsiTheme="minorHAnsi" w:cstheme="minorBidi"/>
          <w:b w:val="0"/>
          <w:bCs w:val="0"/>
          <w:sz w:val="32"/>
          <w:szCs w:val="24"/>
          <w:lang w:eastAsia="zh-CN" w:bidi="ar-SA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eastAsia="zh-CN"/>
        </w:rPr>
        <w:t>主会场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highlight w:val="none"/>
          <w:lang w:val="en-US" w:eastAsia="zh-CN"/>
        </w:rPr>
        <w:t>现场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</w:rPr>
        <w:t>观摩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</w:rPr>
        <w:t>工程交通指引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2" w:firstLineChars="200"/>
        <w:textAlignment w:val="auto"/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工程地点：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广东省中山市火炬开发区张家边“顷九”。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导航设置地址：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广东省中山市红肉火龙果北100米（协宏路与十涌路交叉口东100米）。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600" w:lineRule="exact"/>
        <w:ind w:firstLine="42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657860</wp:posOffset>
            </wp:positionH>
            <wp:positionV relativeFrom="paragraph">
              <wp:posOffset>146050</wp:posOffset>
            </wp:positionV>
            <wp:extent cx="4447540" cy="3695700"/>
            <wp:effectExtent l="0" t="0" r="10160" b="0"/>
            <wp:wrapTopAndBottom/>
            <wp:docPr id="1" name="图片 1" descr="d88c1033cd56775f68fc45ca9d28b5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88c1033cd56775f68fc45ca9d28b55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4754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24"/>
          <w:lang w:val="en-US" w:eastAsia="zh-CN" w:bidi="ar-SA"/>
        </w:rPr>
      </w:pPr>
    </w:p>
    <w:p/>
    <w:sectPr>
      <w:footerReference r:id="rId5" w:type="default"/>
      <w:pgSz w:w="11906" w:h="16838"/>
      <w:pgMar w:top="1644" w:right="1474" w:bottom="1418" w:left="1588" w:header="851" w:footer="992" w:gutter="0"/>
      <w:pgNumType w:fmt="numberInDash" w:start="1"/>
      <w:cols w:space="0" w:num="1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artika">
    <w:altName w:val="FreeSerif"/>
    <w:panose1 w:val="02020503030404060203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小标宋">
    <w:altName w:val="方正小标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Theme="minorEastAsia" w:hAnsiTheme="minorEastAsia" w:eastAsiaTheme="minorEastAsia"/>
        <w:sz w:val="28"/>
        <w:szCs w:val="28"/>
      </w:rPr>
    </w:pPr>
  </w:p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D3830"/>
    <w:rsid w:val="07C54FE7"/>
    <w:rsid w:val="084C31D7"/>
    <w:rsid w:val="179B145C"/>
    <w:rsid w:val="1DAFFD4B"/>
    <w:rsid w:val="2818512F"/>
    <w:rsid w:val="38210DB4"/>
    <w:rsid w:val="42B65841"/>
    <w:rsid w:val="4A971F73"/>
    <w:rsid w:val="7D5D3830"/>
    <w:rsid w:val="F8E7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tabs>
        <w:tab w:val="left" w:pos="420"/>
      </w:tabs>
      <w:spacing w:after="120" w:line="360" w:lineRule="auto"/>
      <w:ind w:firstLine="420" w:firstLineChars="100"/>
    </w:pPr>
    <w:rPr>
      <w:sz w:val="21"/>
    </w:rPr>
  </w:style>
  <w:style w:type="paragraph" w:styleId="3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Body Text First Indent 2"/>
    <w:basedOn w:val="5"/>
    <w:next w:val="6"/>
    <w:qFormat/>
    <w:uiPriority w:val="0"/>
    <w:pPr>
      <w:widowControl w:val="0"/>
      <w:spacing w:before="100" w:beforeAutospacing="1" w:after="0" w:line="600" w:lineRule="exact"/>
      <w:ind w:left="420" w:leftChars="200"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Body Text Indent"/>
    <w:basedOn w:val="1"/>
    <w:next w:val="1"/>
    <w:unhideWhenUsed/>
    <w:qFormat/>
    <w:uiPriority w:val="0"/>
    <w:pPr>
      <w:ind w:firstLine="555"/>
    </w:pPr>
    <w:rPr>
      <w:rFonts w:ascii="宋体" w:hAnsi="宋体" w:cs="Kartika"/>
      <w:sz w:val="32"/>
      <w:szCs w:val="32"/>
    </w:rPr>
  </w:style>
  <w:style w:type="paragraph" w:customStyle="1" w:styleId="6">
    <w:name w:val="正文格式"/>
    <w:basedOn w:val="1"/>
    <w:qFormat/>
    <w:uiPriority w:val="0"/>
    <w:pPr>
      <w:spacing w:line="240" w:lineRule="auto"/>
    </w:pPr>
    <w:rPr>
      <w:sz w:val="28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customStyle="1" w:styleId="10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/>
    </w:rPr>
  </w:style>
  <w:style w:type="paragraph" w:customStyle="1" w:styleId="11">
    <w:name w:val="UserStyle_0"/>
    <w:basedOn w:val="1"/>
    <w:qFormat/>
    <w:uiPriority w:val="0"/>
    <w:pPr>
      <w:tabs>
        <w:tab w:val="left" w:pos="2865"/>
      </w:tabs>
      <w:spacing w:line="360" w:lineRule="auto"/>
      <w:ind w:firstLine="540" w:firstLineChars="180"/>
      <w:textAlignment w:val="baseline"/>
    </w:pPr>
    <w:rPr>
      <w:rFonts w:ascii="Times New Roman" w:hAnsi="Times New Roman" w:eastAsia="楷体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2024-08-22T19:05:00Z</dcterms:created>
  <dc:creator>pjb</dc:creator>
  <cp:lastModifiedBy>xiao</cp:lastModifiedBy>
  <cp:lastPrinted>2024-08-27T01:48:00Z</cp:lastPrinted>
  <dcterms:modified xsi:type="dcterms:W3CDTF">2024-09-05T20:31:49Z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5EE602A191B3456D9B6DC0953046EB48</vt:lpwstr>
  </property>
  <property fmtid="{D5CDD505-2E9C-101B-9397-08002B2CF9AE}" pid="4" name="ribbonExt">
    <vt:lpwstr>{"WPSExtOfficeTab":{"OnGetEnabled":false,"OnGetVisible":false}}</vt:lpwstr>
  </property>
</Properties>
</file>